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40779EA" wp14:paraId="2C078E63" wp14:textId="515BCE2C">
      <w:pPr>
        <w:jc w:val="center"/>
        <w:rPr>
          <w:sz w:val="72"/>
          <w:szCs w:val="72"/>
        </w:rPr>
      </w:pPr>
      <w:r w:rsidRPr="540779EA" w:rsidR="540779EA">
        <w:rPr>
          <w:sz w:val="72"/>
          <w:szCs w:val="72"/>
        </w:rPr>
        <w:t>不動產估價</w:t>
      </w:r>
      <w:r w:rsidRPr="540779EA" w:rsidR="540779EA">
        <w:rPr>
          <w:sz w:val="72"/>
          <w:szCs w:val="72"/>
        </w:rPr>
        <w:t>--</w:t>
      </w:r>
      <w:r w:rsidRPr="540779EA" w:rsidR="540779EA">
        <w:rPr>
          <w:sz w:val="72"/>
          <w:szCs w:val="72"/>
        </w:rPr>
        <w:t>課後習題</w:t>
      </w:r>
      <w:r w:rsidRPr="540779EA" w:rsidR="540779EA">
        <w:rPr>
          <w:sz w:val="72"/>
          <w:szCs w:val="72"/>
        </w:rPr>
        <w:t>--CH16</w:t>
      </w:r>
    </w:p>
    <w:p w:rsidR="540779EA" w:rsidP="540779EA" w:rsidRDefault="540779EA" w14:paraId="42519D64" w14:textId="59D18F07">
      <w:pPr>
        <w:pStyle w:val="Normal"/>
        <w:jc w:val="left"/>
        <w:rPr>
          <w:noProof w:val="0"/>
          <w:lang w:val="en-US"/>
        </w:rPr>
      </w:pPr>
      <w:r w:rsidRPr="540779EA" w:rsidR="540779EA">
        <w:rPr>
          <w:sz w:val="52"/>
          <w:szCs w:val="52"/>
        </w:rPr>
        <w:t>CH16</w:t>
      </w:r>
    </w:p>
    <w:p w:rsidR="540779EA" w:rsidP="540779EA" w:rsidRDefault="540779EA" w14:paraId="169BF56E" w14:textId="61AEAB6C">
      <w:pPr>
        <w:pStyle w:val="ListParagraph"/>
        <w:numPr>
          <w:ilvl w:val="0"/>
          <w:numId w:val="2"/>
        </w:numPr>
        <w:jc w:val="left"/>
        <w:rPr>
          <w:noProof w:val="0"/>
          <w:lang w:val="en-US"/>
        </w:rPr>
      </w:pPr>
      <w:r w:rsidRPr="540779EA" w:rsidR="540779EA">
        <w:rPr>
          <w:noProof w:val="0"/>
          <w:lang w:val="en-US"/>
        </w:rPr>
        <w:t xml:space="preserve">(a) </w:t>
      </w:r>
      <w:r w:rsidRPr="540779EA" w:rsidR="540779EA">
        <w:rPr>
          <w:noProof w:val="0"/>
          <w:lang w:val="en-US"/>
        </w:rPr>
        <w:t>若權利變換前區分所有建物之基地總價值低於區分所有建物坐落基地之素地總價值者，則各區分所有建物之基地權利價值如何被計算</w:t>
      </w:r>
      <w:r w:rsidRPr="540779EA" w:rsidR="540779EA">
        <w:rPr>
          <w:noProof w:val="0"/>
          <w:lang w:val="en-US"/>
        </w:rPr>
        <w:t>? (b) 針對權利變換後區分所有建物及其土地應有部分，應考量哪些因素並以什麼當作基準來查估之?</w:t>
      </w:r>
    </w:p>
    <w:p w:rsidR="540779EA" w:rsidP="540779EA" w:rsidRDefault="540779EA" w14:paraId="0F0579FF" w14:textId="01718C24">
      <w:pPr>
        <w:pStyle w:val="Normal"/>
        <w:ind w:left="0"/>
        <w:jc w:val="left"/>
        <w:rPr>
          <w:noProof w:val="0"/>
          <w:lang w:val="en-US"/>
        </w:rPr>
      </w:pPr>
      <w:r w:rsidRPr="540779EA" w:rsidR="540779EA">
        <w:rPr>
          <w:noProof w:val="0"/>
          <w:lang w:val="en-US"/>
        </w:rPr>
        <w:t>按照不動產估價技術規則第126條計算之。</w:t>
      </w:r>
    </w:p>
    <w:p w:rsidR="540779EA" w:rsidP="540779EA" w:rsidRDefault="540779EA" w14:paraId="765BA914" w14:textId="0CF923DB">
      <w:pPr>
        <w:pStyle w:val="Normal"/>
        <w:ind w:left="0"/>
        <w:jc w:val="left"/>
        <w:rPr>
          <w:noProof w:val="0"/>
          <w:lang w:val="en-US"/>
        </w:rPr>
      </w:pPr>
      <w:r w:rsidRPr="540779EA" w:rsidR="540779EA">
        <w:rPr>
          <w:noProof w:val="0"/>
          <w:lang w:val="en-US"/>
        </w:rPr>
        <w:t>不動產估價技術規則第128條。</w:t>
      </w:r>
    </w:p>
    <w:p w:rsidR="540779EA" w:rsidP="540779EA" w:rsidRDefault="540779EA" w14:paraId="386FC333" w14:textId="3704DE03">
      <w:pPr>
        <w:pStyle w:val="Normal"/>
        <w:ind w:left="0"/>
        <w:jc w:val="left"/>
        <w:rPr>
          <w:noProof w:val="0"/>
          <w:lang w:val="en-US"/>
        </w:rPr>
      </w:pPr>
      <w:r w:rsidRPr="540779EA" w:rsidR="540779EA">
        <w:rPr>
          <w:noProof w:val="0"/>
          <w:lang w:val="en-US"/>
        </w:rPr>
        <w:t>第128條。</w:t>
      </w:r>
    </w:p>
    <w:p w:rsidR="540779EA" w:rsidP="540779EA" w:rsidRDefault="540779EA" w14:paraId="6D05FBDF" w14:textId="460772F5">
      <w:pPr>
        <w:pStyle w:val="Normal"/>
        <w:rPr>
          <w:noProof w:val="0"/>
          <w:lang w:val="en-US"/>
        </w:rPr>
      </w:pPr>
      <w:r w:rsidRPr="540779EA" w:rsidR="540779EA">
        <w:rPr>
          <w:noProof w:val="0"/>
          <w:lang w:val="en-US"/>
        </w:rPr>
        <w:t>權利變換後區分所有建物及其土地應有部分，應考量都市更新權利變換計畫之建築計畫、建材標準、設備等級、工程造價水準及更新前後樓層別效用比關聯性等因素，以都市更新評價基準日當時之新成屋價格查估之。</w:t>
      </w:r>
    </w:p>
    <w:p w:rsidR="540779EA" w:rsidP="540779EA" w:rsidRDefault="540779EA" w14:paraId="5F8FBAC9" w14:textId="3ECEE77D">
      <w:pPr>
        <w:pStyle w:val="ListParagraph"/>
        <w:numPr>
          <w:ilvl w:val="0"/>
          <w:numId w:val="2"/>
        </w:numPr>
        <w:jc w:val="left"/>
        <w:rPr>
          <w:noProof w:val="0"/>
          <w:lang w:val="en-US"/>
        </w:rPr>
      </w:pPr>
      <w:r w:rsidRPr="540779EA" w:rsidR="540779EA">
        <w:rPr>
          <w:noProof w:val="0"/>
          <w:lang w:val="en-US"/>
        </w:rPr>
        <w:t>試問權利變換前區分所有建物該如何進行估價作業</w:t>
      </w:r>
      <w:r w:rsidRPr="540779EA" w:rsidR="540779EA">
        <w:rPr>
          <w:noProof w:val="0"/>
          <w:lang w:val="en-US"/>
        </w:rPr>
        <w:t>?</w:t>
      </w:r>
    </w:p>
    <w:p w:rsidR="540779EA" w:rsidP="540779EA" w:rsidRDefault="540779EA" w14:paraId="0ACD25DB" w14:textId="719C2838">
      <w:pPr>
        <w:pStyle w:val="Normal"/>
        <w:ind w:left="0"/>
        <w:jc w:val="left"/>
        <w:rPr>
          <w:noProof w:val="0"/>
          <w:lang w:val="en-US"/>
        </w:rPr>
      </w:pPr>
      <w:r w:rsidRPr="540779EA" w:rsidR="540779EA">
        <w:rPr>
          <w:noProof w:val="0"/>
          <w:lang w:val="en-US"/>
        </w:rPr>
        <w:t>詳見，我的筆記，不動產估價</w:t>
      </w:r>
      <w:r w:rsidRPr="540779EA" w:rsidR="540779EA">
        <w:rPr>
          <w:noProof w:val="0"/>
          <w:lang w:val="en-US"/>
        </w:rPr>
        <w:t>--都市更新權利估價.docx。</w:t>
      </w:r>
    </w:p>
    <w:p w:rsidR="540779EA" w:rsidP="540779EA" w:rsidRDefault="540779EA" w14:paraId="07C504D6" w14:textId="4CD2F213">
      <w:pPr>
        <w:pStyle w:val="ListParagraph"/>
        <w:numPr>
          <w:ilvl w:val="0"/>
          <w:numId w:val="2"/>
        </w:numPr>
        <w:jc w:val="left"/>
        <w:rPr>
          <w:noProof w:val="0"/>
          <w:lang w:val="en-US"/>
        </w:rPr>
      </w:pPr>
      <w:r w:rsidRPr="540779EA" w:rsidR="540779EA">
        <w:rPr>
          <w:noProof w:val="0"/>
          <w:lang w:val="en-US"/>
        </w:rPr>
        <w:t>解釋名詞：</w:t>
      </w:r>
    </w:p>
    <w:p w:rsidR="540779EA" w:rsidP="540779EA" w:rsidRDefault="540779EA" w14:paraId="0A4CB92F" w14:textId="112597A1">
      <w:pPr>
        <w:pStyle w:val="Normal"/>
        <w:ind w:left="0"/>
        <w:jc w:val="left"/>
        <w:rPr>
          <w:noProof w:val="0"/>
          <w:lang w:val="en-US"/>
        </w:rPr>
      </w:pPr>
      <w:r w:rsidRPr="540779EA" w:rsidR="540779EA">
        <w:rPr>
          <w:noProof w:val="0"/>
          <w:lang w:val="en-US"/>
        </w:rPr>
        <w:t>(a)權利變換</w:t>
      </w:r>
    </w:p>
    <w:p w:rsidR="540779EA" w:rsidP="540779EA" w:rsidRDefault="540779EA" w14:paraId="30856A07" w14:textId="4B38D5E9">
      <w:pPr>
        <w:pStyle w:val="Normal"/>
        <w:ind w:left="0"/>
        <w:jc w:val="left"/>
        <w:rPr>
          <w:noProof w:val="0"/>
          <w:lang w:val="en-US"/>
        </w:rPr>
      </w:pPr>
      <w:r w:rsidRPr="540779EA" w:rsidR="540779EA">
        <w:rPr>
          <w:noProof w:val="0"/>
          <w:lang w:val="en-US"/>
        </w:rPr>
        <w:t>(b)基地權利</w:t>
      </w:r>
    </w:p>
    <w:p w:rsidR="540779EA" w:rsidP="540779EA" w:rsidRDefault="540779EA" w14:paraId="54BD1788" w14:textId="2E584366">
      <w:pPr>
        <w:pStyle w:val="Normal"/>
        <w:ind w:left="0"/>
        <w:jc w:val="left"/>
        <w:rPr>
          <w:noProof w:val="0"/>
          <w:lang w:val="en-US"/>
        </w:rPr>
      </w:pPr>
      <w:r w:rsidRPr="540779EA" w:rsidR="540779EA">
        <w:rPr>
          <w:noProof w:val="0"/>
          <w:lang w:val="en-US"/>
        </w:rPr>
        <w:t>(a)</w:t>
      </w:r>
    </w:p>
    <w:p w:rsidR="540779EA" w:rsidP="540779EA" w:rsidRDefault="540779EA" w14:paraId="0A85A1C6" w14:textId="34D8E742">
      <w:pPr>
        <w:pStyle w:val="Normal"/>
        <w:ind w:left="0"/>
        <w:jc w:val="left"/>
        <w:rPr>
          <w:noProof w:val="0"/>
          <w:lang w:val="en-US"/>
        </w:rPr>
      </w:pPr>
      <w:r w:rsidRPr="540779EA" w:rsidR="540779EA">
        <w:rPr>
          <w:noProof w:val="0"/>
          <w:lang w:val="en-US"/>
        </w:rPr>
        <w:t>根據都市更新條例第3條第7款。</w:t>
      </w:r>
    </w:p>
    <w:p w:rsidR="540779EA" w:rsidP="540779EA" w:rsidRDefault="540779EA" w14:paraId="21DCF75C" w14:textId="046CF860">
      <w:pPr>
        <w:pStyle w:val="Normal"/>
        <w:rPr>
          <w:noProof w:val="0"/>
          <w:lang w:val="en-US"/>
        </w:rPr>
      </w:pPr>
      <w:r w:rsidRPr="540779EA" w:rsidR="540779EA">
        <w:rPr>
          <w:noProof w:val="0"/>
          <w:lang w:val="en-US"/>
        </w:rPr>
        <w:t>權利變換：</w:t>
      </w:r>
    </w:p>
    <w:p w:rsidR="540779EA" w:rsidP="540779EA" w:rsidRDefault="540779EA" w14:paraId="58DC63EF" w14:textId="50267D9F">
      <w:pPr>
        <w:pStyle w:val="Normal"/>
        <w:rPr>
          <w:noProof w:val="0"/>
          <w:lang w:val="en-US"/>
        </w:rPr>
      </w:pPr>
      <w:r w:rsidRPr="540779EA" w:rsidR="540779EA">
        <w:rPr>
          <w:noProof w:val="0"/>
          <w:lang w:val="en-US"/>
        </w:rPr>
        <w:t>指更新單元內重建區段之土地所有權人、合法建築物所有權人、他項權利人、實施者或與實施者協議出資之人，提供土地、建築物、他項權利或資金，參與或實施都市更新事業，於都市更新事業計畫實施完成後，按其更新前權利價值比率及提供資金額度，分配更新後土地、建築物或權利金。</w:t>
      </w:r>
    </w:p>
    <w:p w:rsidR="540779EA" w:rsidP="540779EA" w:rsidRDefault="540779EA" w14:paraId="404A4E0B" w14:textId="1F1A2CD5">
      <w:pPr>
        <w:pStyle w:val="Normal"/>
        <w:rPr>
          <w:noProof w:val="0"/>
          <w:lang w:val="en-US"/>
        </w:rPr>
      </w:pPr>
      <w:r w:rsidRPr="540779EA" w:rsidR="540779EA">
        <w:rPr>
          <w:noProof w:val="0"/>
          <w:lang w:val="en-US"/>
        </w:rPr>
        <w:t>(b)</w:t>
      </w:r>
    </w:p>
    <w:p w:rsidR="540779EA" w:rsidP="540779EA" w:rsidRDefault="540779EA" w14:paraId="3CE6252C" w14:textId="6B524C52">
      <w:pPr>
        <w:pStyle w:val="Normal"/>
        <w:rPr>
          <w:rFonts w:ascii="Aptos" w:hAnsi="Aptos" w:eastAsia="Aptos" w:cs="Aptos"/>
          <w:noProof w:val="0"/>
          <w:sz w:val="24"/>
          <w:szCs w:val="24"/>
          <w:lang w:val="en-US"/>
        </w:rPr>
      </w:pPr>
      <w:r w:rsidRPr="540779EA" w:rsidR="540779EA">
        <w:rPr>
          <w:noProof w:val="0"/>
          <w:lang w:val="en-US"/>
        </w:rPr>
        <w:t>根據法務部法律字第</w:t>
      </w:r>
      <w:r w:rsidRPr="540779EA" w:rsidR="540779EA">
        <w:rPr>
          <w:noProof w:val="0"/>
          <w:lang w:val="en-US"/>
        </w:rPr>
        <w:t xml:space="preserve"> 10903509100 號。</w:t>
      </w:r>
    </w:p>
    <w:p w:rsidR="540779EA" w:rsidP="540779EA" w:rsidRDefault="540779EA" w14:paraId="51E63C1A" w14:textId="05EC4BA9">
      <w:pPr>
        <w:pStyle w:val="Normal"/>
        <w:ind w:left="0"/>
        <w:jc w:val="left"/>
        <w:rPr>
          <w:noProof w:val="0"/>
          <w:lang w:val="en-US"/>
        </w:rPr>
      </w:pPr>
      <w:r w:rsidRPr="540779EA" w:rsidR="540779EA">
        <w:rPr>
          <w:noProof w:val="0"/>
          <w:lang w:val="en-US"/>
        </w:rPr>
        <w:t>基地權利：</w:t>
      </w:r>
    </w:p>
    <w:p w:rsidR="540779EA" w:rsidP="540779EA" w:rsidRDefault="540779EA" w14:paraId="18175829" w14:textId="6BC8512F">
      <w:pPr>
        <w:pStyle w:val="Normal"/>
        <w:rPr>
          <w:noProof w:val="0"/>
          <w:lang w:val="en-US"/>
        </w:rPr>
      </w:pPr>
      <w:r w:rsidRPr="540779EA" w:rsidR="540779EA">
        <w:rPr>
          <w:noProof w:val="0"/>
          <w:lang w:val="en-US"/>
        </w:rPr>
        <w:t>有關區分所有建築物共有部分及基地之應有部分</w:t>
      </w:r>
      <w:r w:rsidRPr="540779EA" w:rsidR="540779EA">
        <w:rPr>
          <w:noProof w:val="0"/>
          <w:lang w:val="en-US"/>
        </w:rPr>
        <w:t>。</w:t>
      </w:r>
    </w:p>
    <w:p w:rsidR="540779EA" w:rsidP="540779EA" w:rsidRDefault="540779EA" w14:paraId="1A06C20D" w14:textId="1757FCF4">
      <w:pPr>
        <w:pStyle w:val="Normal"/>
        <w:rPr>
          <w:noProof w:val="0"/>
          <w:lang w:val="en-US"/>
        </w:rPr>
      </w:pPr>
      <w:r w:rsidRPr="540779EA" w:rsidR="540779EA">
        <w:rPr>
          <w:noProof w:val="0"/>
          <w:lang w:val="en-US"/>
        </w:rPr>
        <w:t>參考資料</w:t>
      </w:r>
    </w:p>
    <w:p w:rsidR="540779EA" w:rsidP="540779EA" w:rsidRDefault="540779EA" w14:paraId="4037D3D8" w14:textId="463E211F">
      <w:pPr>
        <w:pStyle w:val="Normal"/>
        <w:rPr>
          <w:rFonts w:ascii="Aptos" w:hAnsi="Aptos" w:eastAsia="Aptos" w:cs="Aptos"/>
          <w:noProof w:val="0"/>
          <w:sz w:val="24"/>
          <w:szCs w:val="24"/>
          <w:lang w:val="en-US"/>
        </w:rPr>
      </w:pPr>
      <w:hyperlink w:anchor=":~:text=%E6%89%80%E6%9C%89%E5%BB%BA%E7%AF%89%E7%89%A9%E5%85%B1%E6%9C%89%E9%83%A8%E5%88%86%E5%8F%8A%E5%9F%BA%E5%9C%B0%E4%B9%8B%E6%87%89%E6%9C%89%E9%83%A8%E5%88%86%EF%BC%8C%E5%8E%9F%E5%89%87%E4%B8%8A%E6%87%89%E4%BE%9D%E5%85%B6%E5%B0%88%E6%9C%89%E9%83%A8%E5%88%86%E9%9D%A2%E7%A9%8D%20%E8%88%87%E5%B0%88%E6%9C%89%E9%83%A8%E5%88%86%E7%B8%BD%E9%9D%A2%E7%A9%8D%E4%B9%8B%E6%AF%94%E4%BE%8B%E5%AE%9A%E4%B9%8B%EF%BC%9B%E4%BD%86%E4%BA%A6%E5%BE%97%E5%BE%9E%E5%90%84%E5%8D%80%E5%88%86%E6%89%80%E6%9C%89%E4%BA%BA%E5%85%A8%E9%AB%94%E4%B9%8B%E7%B4%84%E5%AE%9A%EF%BC%8C,%E6%83%9F%E5%B0%9A%E4%B8%8D%E5%BE%97%E5%83%85%E7%94%B1%E9%83%A8%E5%88%86%E5%8D%80%E5%88%86%E6%89%80%E6%9C%89%E6%AC%8A%E4%BA%BA%E7%9B%B8%E4%BA%92%E9%96%93%EF%BC%8C%E5%B0%B1%E6%87%89%E6%9C%89%E9%83%A8%E5%88%86%E6%AF%94%E4%BE%8B%E9%87%8D%E7%82%BA%E5%8D%94%E8%AD%B0%EF%BC%8C%20%E5%B0%87%E5%85%B1%E5%90%8C%E4%BD%BF%E7%94%A8%E9%83%A8%E5%88%86%E6%88%96%E5%9F%BA%E5%9C%B0%E6%87%89%E6%9C%89%E9%83%A8%E5%88%86%E4%B9%8B%E6%AC%8A%E5%88%A9%E7%AF%84%E5%9C%8D%EF%BC%8C%E4%BD%9C%E9%83%A8%E5%88%86%E8%AA%BF%E6%95%B4%E3%80%82" r:id="R9062d7ce0f5747e8">
        <w:r w:rsidRPr="540779EA" w:rsidR="540779EA">
          <w:rPr>
            <w:rStyle w:val="Hyperlink"/>
            <w:rFonts w:ascii="Aptos" w:hAnsi="Aptos" w:eastAsia="Aptos" w:cs="Aptos"/>
            <w:noProof w:val="0"/>
            <w:sz w:val="24"/>
            <w:szCs w:val="24"/>
            <w:lang w:val="en-US"/>
          </w:rPr>
          <w:t>法務部-行政函釋 (moj.gov.tw)</w:t>
        </w:r>
      </w:hyperlink>
    </w:p>
    <w:p w:rsidR="540779EA" w:rsidP="540779EA" w:rsidRDefault="540779EA" w14:paraId="2C2B2353" w14:textId="0571E0CF">
      <w:pPr>
        <w:pStyle w:val="Normal"/>
        <w:ind w:left="0"/>
        <w:jc w:val="left"/>
        <w:rPr>
          <w:noProof w:val="0"/>
          <w:lang w:val="en-US"/>
        </w:rPr>
      </w:pPr>
    </w:p>
    <w:p w:rsidR="540779EA" w:rsidP="540779EA" w:rsidRDefault="540779EA" w14:paraId="4637516C" w14:textId="23ED7D85">
      <w:pPr>
        <w:pStyle w:val="Normal"/>
        <w:ind w:left="0"/>
        <w:jc w:val="left"/>
        <w:rPr>
          <w:noProof w:val="0"/>
          <w:lang w:val="en-US"/>
        </w:rPr>
      </w:pPr>
    </w:p>
    <w:p w:rsidR="540779EA" w:rsidP="540779EA" w:rsidRDefault="540779EA" w14:paraId="0F872A32" w14:textId="6DC57DCD">
      <w:pPr>
        <w:pStyle w:val="ListParagraph"/>
        <w:numPr>
          <w:ilvl w:val="0"/>
          <w:numId w:val="2"/>
        </w:numPr>
        <w:jc w:val="left"/>
        <w:rPr>
          <w:noProof w:val="0"/>
          <w:lang w:val="en-US"/>
        </w:rPr>
      </w:pPr>
      <w:r w:rsidRPr="540779EA" w:rsidR="540779EA">
        <w:rPr>
          <w:noProof w:val="0"/>
          <w:lang w:val="en-US"/>
        </w:rPr>
        <w:t>依都市更新條例及其相關法規之規範，</w:t>
      </w:r>
      <w:r w:rsidRPr="540779EA" w:rsidR="540779EA">
        <w:rPr>
          <w:noProof w:val="0"/>
          <w:lang w:val="en-US"/>
        </w:rPr>
        <w:t>舊違章建築所有權人與合法建物所有權人是否可以參與都市更新後之權利價值分配?其價值之內涵有哪些</w:t>
      </w:r>
      <w:r w:rsidRPr="540779EA" w:rsidR="540779EA">
        <w:rPr>
          <w:noProof w:val="0"/>
          <w:lang w:val="en-US"/>
        </w:rPr>
        <w:t>?</w:t>
      </w:r>
    </w:p>
    <w:p w:rsidR="540779EA" w:rsidP="540779EA" w:rsidRDefault="540779EA" w14:paraId="455C57BA" w14:textId="3155E076">
      <w:pPr>
        <w:pStyle w:val="Normal"/>
        <w:ind w:left="0"/>
        <w:jc w:val="left"/>
        <w:rPr>
          <w:noProof w:val="0"/>
          <w:lang w:val="en-US"/>
        </w:rPr>
      </w:pPr>
      <w:r w:rsidRPr="540779EA" w:rsidR="540779EA">
        <w:rPr>
          <w:noProof w:val="0"/>
          <w:lang w:val="en-US"/>
        </w:rPr>
        <w:t>(a)</w:t>
      </w:r>
      <w:r w:rsidRPr="540779EA" w:rsidR="540779EA">
        <w:rPr>
          <w:noProof w:val="0"/>
          <w:lang w:val="en-US"/>
        </w:rPr>
        <w:t>在台灣，按照有關都市更新的相關規範，皆可以，但他們的權利價值之估價和分配方式可能會不同</w:t>
      </w:r>
      <w:r w:rsidRPr="540779EA" w:rsidR="540779EA">
        <w:rPr>
          <w:noProof w:val="0"/>
          <w:lang w:val="en-US"/>
        </w:rPr>
        <w:t>。</w:t>
      </w:r>
    </w:p>
    <w:p w:rsidR="540779EA" w:rsidP="540779EA" w:rsidRDefault="540779EA" w14:paraId="3CFDC71E" w14:textId="3279CC72">
      <w:pPr>
        <w:pStyle w:val="Normal"/>
        <w:ind w:left="0"/>
        <w:jc w:val="left"/>
        <w:rPr>
          <w:noProof w:val="0"/>
          <w:lang w:val="en-US"/>
        </w:rPr>
      </w:pPr>
      <w:r w:rsidRPr="540779EA" w:rsidR="540779EA">
        <w:rPr>
          <w:noProof w:val="0"/>
          <w:lang w:val="en-US"/>
        </w:rPr>
        <w:t>(b)權利價值主要包含了</w:t>
      </w:r>
    </w:p>
    <w:p w:rsidR="540779EA" w:rsidP="540779EA" w:rsidRDefault="540779EA" w14:paraId="7741CF11" w14:textId="7C1ACFE4">
      <w:pPr>
        <w:pStyle w:val="ListParagraph"/>
        <w:numPr>
          <w:ilvl w:val="0"/>
          <w:numId w:val="3"/>
        </w:numPr>
        <w:jc w:val="left"/>
        <w:rPr>
          <w:noProof w:val="0"/>
          <w:lang w:val="en-US"/>
        </w:rPr>
      </w:pPr>
      <w:r w:rsidRPr="540779EA" w:rsidR="540779EA">
        <w:rPr>
          <w:noProof w:val="0"/>
          <w:lang w:val="en-US"/>
        </w:rPr>
        <w:t>土地使用權轉移之價值</w:t>
      </w:r>
    </w:p>
    <w:p w:rsidR="540779EA" w:rsidP="540779EA" w:rsidRDefault="540779EA" w14:paraId="4A7EF80C" w14:textId="3EA2CFC8">
      <w:pPr>
        <w:pStyle w:val="ListParagraph"/>
        <w:numPr>
          <w:ilvl w:val="0"/>
          <w:numId w:val="3"/>
        </w:numPr>
        <w:jc w:val="left"/>
        <w:rPr>
          <w:noProof w:val="0"/>
          <w:lang w:val="en-US"/>
        </w:rPr>
      </w:pPr>
      <w:r w:rsidRPr="540779EA" w:rsidR="540779EA">
        <w:rPr>
          <w:noProof w:val="0"/>
          <w:lang w:val="en-US"/>
        </w:rPr>
        <w:t>土地補償之價值</w:t>
      </w:r>
    </w:p>
    <w:p w:rsidR="540779EA" w:rsidP="540779EA" w:rsidRDefault="540779EA" w14:paraId="1C6B1CC6" w14:textId="25B81143">
      <w:pPr>
        <w:pStyle w:val="ListParagraph"/>
        <w:numPr>
          <w:ilvl w:val="0"/>
          <w:numId w:val="3"/>
        </w:numPr>
        <w:jc w:val="left"/>
        <w:rPr>
          <w:noProof w:val="0"/>
          <w:lang w:val="en-US"/>
        </w:rPr>
      </w:pPr>
      <w:r w:rsidRPr="540779EA" w:rsidR="540779EA">
        <w:rPr>
          <w:noProof w:val="0"/>
          <w:lang w:val="en-US"/>
        </w:rPr>
        <w:t>新建築</w:t>
      </w:r>
      <w:r w:rsidRPr="540779EA" w:rsidR="540779EA">
        <w:rPr>
          <w:noProof w:val="0"/>
          <w:lang w:val="en-US"/>
        </w:rPr>
        <w:t>分配之價值</w:t>
      </w:r>
    </w:p>
    <w:p w:rsidR="540779EA" w:rsidP="540779EA" w:rsidRDefault="540779EA" w14:paraId="3FF5E466" w14:textId="6F84C04A">
      <w:pPr>
        <w:pStyle w:val="ListParagraph"/>
        <w:numPr>
          <w:ilvl w:val="0"/>
          <w:numId w:val="3"/>
        </w:numPr>
        <w:jc w:val="left"/>
        <w:rPr>
          <w:noProof w:val="0"/>
          <w:lang w:val="en-US"/>
        </w:rPr>
      </w:pPr>
      <w:r w:rsidRPr="540779EA" w:rsidR="540779EA">
        <w:rPr>
          <w:noProof w:val="0"/>
          <w:lang w:val="en-US"/>
        </w:rPr>
        <w:t>其他權益之價值</w:t>
      </w:r>
    </w:p>
    <w:p w:rsidR="540779EA" w:rsidP="540779EA" w:rsidRDefault="540779EA" w14:paraId="2F1371E4" w14:textId="5B594565">
      <w:pPr>
        <w:pStyle w:val="Normal"/>
        <w:ind w:left="0"/>
        <w:jc w:val="left"/>
        <w:rPr>
          <w:noProof w:val="0"/>
          <w:lang w:val="en-US"/>
        </w:rPr>
      </w:pPr>
    </w:p>
    <w:p w:rsidR="540779EA" w:rsidP="540779EA" w:rsidRDefault="540779EA" w14:paraId="60E3FE23" w14:textId="41D309DB">
      <w:pPr>
        <w:pStyle w:val="Normal"/>
        <w:ind w:left="0"/>
        <w:jc w:val="left"/>
        <w:rPr>
          <w:noProof w:val="0"/>
          <w:lang w:val="en-US"/>
        </w:rPr>
      </w:pPr>
    </w:p>
    <w:p w:rsidR="540779EA" w:rsidP="540779EA" w:rsidRDefault="540779EA" w14:paraId="4D6D3F6E" w14:textId="2B0A376F">
      <w:pPr>
        <w:pStyle w:val="Normal"/>
        <w:ind w:left="0"/>
        <w:jc w:val="left"/>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5f15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0348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238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BE27C3"/>
    <w:rsid w:val="1ABE27C3"/>
    <w:rsid w:val="5407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27C3"/>
  <w15:chartTrackingRefBased/>
  <w15:docId w15:val="{5C199F9F-7EB3-4DEB-8051-DA5920A2E0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ojlaw.moj.gov.tw/LawContentExShow.aspx?type=e&amp;id=FE342518" TargetMode="External" Id="R9062d7ce0f5747e8" /><Relationship Type="http://schemas.openxmlformats.org/officeDocument/2006/relationships/numbering" Target="numbering.xml" Id="Rd651b59a0d524cd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2024-04-22T06:45:04.3385562Z</dcterms:created>
  <dcterms:modified xsi:type="dcterms:W3CDTF">2024-04-24T02:27:39.7169072Z</dcterms:modified>
  <dc:creator>奕捷 黃</dc:creator>
  <lastModifiedBy>奕捷 黃</lastModifiedBy>
</coreProperties>
</file>