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73C7336" wp14:paraId="3CA47C27" wp14:textId="328E8753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473C7336" w:rsidR="473C73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典權契稅</w:t>
      </w:r>
    </w:p>
    <w:p xmlns:wp14="http://schemas.microsoft.com/office/word/2010/wordml" w:rsidP="473C7336" wp14:paraId="1B580EB4" wp14:textId="1A95BB54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473C7336" w:rsidR="473C73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典權契稅</w:t>
      </w:r>
    </w:p>
    <w:p xmlns:wp14="http://schemas.microsoft.com/office/word/2010/wordml" w:rsidP="473C7336" wp14:paraId="28411AC6" wp14:textId="61C39D49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73C7336" w:rsidR="473C73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適用範圍</w:t>
      </w:r>
    </w:p>
    <w:p xmlns:wp14="http://schemas.microsoft.com/office/word/2010/wordml" w:rsidP="473C7336" wp14:paraId="57DDBB66" wp14:textId="0E1BB28A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3C7336" w:rsidR="473C73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名詞解釋：</w:t>
      </w:r>
    </w:p>
    <w:p xmlns:wp14="http://schemas.microsoft.com/office/word/2010/wordml" w:rsidP="473C7336" wp14:paraId="1508DAF6" wp14:textId="153A16CD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3C7336" w:rsidR="473C73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詳見，我的筆記，典權.docx。</w:t>
      </w:r>
    </w:p>
    <w:p xmlns:wp14="http://schemas.microsoft.com/office/word/2010/wordml" w:rsidP="473C7336" wp14:paraId="687104BD" wp14:textId="64F3F40D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3C7336" wp14:paraId="32430F5E" wp14:textId="7DE46020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3C7336" w:rsidR="473C73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根據契稅法第5條規定。</w:t>
      </w:r>
    </w:p>
    <w:p xmlns:wp14="http://schemas.microsoft.com/office/word/2010/wordml" w:rsidP="473C7336" wp14:paraId="15DC6A76" wp14:textId="2B9F4E30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3C7336" w:rsidR="473C73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在出典人出典典物後(依契約在民法上的效力為準)，典權人應繳納典稅契稅</w:t>
      </w:r>
      <w:r w:rsidRPr="473C7336" w:rsidR="473C73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473C7336" wp14:paraId="40693D06" wp14:textId="1DC6BBDF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3C7336" wp14:paraId="3EB4C637" wp14:textId="1BC2FEB0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3C7336" w:rsidR="473C73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根據契稅法第5條規定。</w:t>
      </w:r>
    </w:p>
    <w:p xmlns:wp14="http://schemas.microsoft.com/office/word/2010/wordml" w:rsidP="473C7336" wp14:paraId="6605A4E1" wp14:textId="5D78BE38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3C7336" w:rsidR="473C73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若出典人於典期</w:t>
      </w:r>
      <w:r w:rsidRPr="473C7336" w:rsidR="473C73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(含)</w:t>
      </w:r>
      <w:r w:rsidRPr="473C7336" w:rsidR="473C73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滿兩年後不以原典價回贖回典物，則典權人應補繳典權契稅和買賣契稅之差額。</w:t>
      </w:r>
    </w:p>
    <w:p xmlns:wp14="http://schemas.microsoft.com/office/word/2010/wordml" w:rsidP="473C7336" wp14:paraId="69915388" wp14:textId="0728B54C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3C7336" wp14:paraId="57EBE590" wp14:textId="5C34EC85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3C7336" w:rsidR="473C73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詳見，我的筆記，典權.docx裡的案例。</w:t>
      </w:r>
    </w:p>
    <w:p xmlns:wp14="http://schemas.microsoft.com/office/word/2010/wordml" w:rsidP="473C7336" wp14:paraId="2C078E63" wp14:textId="490C4F9B">
      <w:pPr>
        <w:pStyle w:val="Normal"/>
      </w:pPr>
    </w:p>
    <w:p w:rsidR="473C7336" w:rsidP="473C7336" w:rsidRDefault="473C7336" w14:paraId="57F047AD" w14:textId="40E657F1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73C7336" w:rsidR="473C73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稅率結構</w:t>
      </w:r>
    </w:p>
    <w:p w:rsidR="473C7336" w:rsidP="473C7336" w:rsidRDefault="473C7336" w14:paraId="5C2AE802" w14:textId="5FA24134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73C7336" w:rsidR="473C73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典權契稅的稅率一律為0.04。</w:t>
      </w:r>
    </w:p>
    <w:p w:rsidR="473C7336" w:rsidP="473C7336" w:rsidRDefault="473C7336" w14:paraId="47551EC6" w14:textId="3DB39E90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73C7336" w:rsidR="473C73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應納稅額</w:t>
      </w:r>
      <w:r w:rsidRPr="473C7336" w:rsidR="473C73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原典價 * 典權契稅的稅率</w:t>
      </w:r>
    </w:p>
    <w:p w:rsidR="473C7336" w:rsidP="473C7336" w:rsidRDefault="473C7336" w14:paraId="1AB75FD3" w14:textId="6EC66AC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4C7BF6"/>
    <w:rsid w:val="473C7336"/>
    <w:rsid w:val="4D4C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7BF6"/>
  <w15:chartTrackingRefBased/>
  <w15:docId w15:val="{96D712B5-3C98-4EAD-AD80-9400524A26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2024-04-13T00:13:30.1495436Z</dcterms:created>
  <dcterms:modified xsi:type="dcterms:W3CDTF">2024-04-13T06:16:21.4488699Z</dcterms:modified>
  <dc:creator>奕捷 黃</dc:creator>
  <lastModifiedBy>奕捷 黃</lastModifiedBy>
</coreProperties>
</file>