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8074835" w:rsidP="38074835" w:rsidRDefault="38074835" w14:paraId="735468F6" w14:textId="20CFE2C6">
      <w:pPr>
        <w:pStyle w:val="Normal"/>
        <w:jc w:val="center"/>
        <w:rPr>
          <w:sz w:val="72"/>
          <w:szCs w:val="72"/>
        </w:rPr>
      </w:pPr>
      <w:r w:rsidRPr="38074835" w:rsidR="38074835">
        <w:rPr>
          <w:sz w:val="72"/>
          <w:szCs w:val="72"/>
        </w:rPr>
        <w:t>所得稅</w:t>
      </w:r>
      <w:r w:rsidRPr="38074835" w:rsidR="38074835">
        <w:rPr>
          <w:sz w:val="72"/>
          <w:szCs w:val="72"/>
        </w:rPr>
        <w:t xml:space="preserve"> -- </w:t>
      </w:r>
      <w:r w:rsidRPr="38074835" w:rsidR="38074835">
        <w:rPr>
          <w:sz w:val="72"/>
          <w:szCs w:val="72"/>
        </w:rPr>
        <w:t>所得稅基本額</w:t>
      </w:r>
    </w:p>
    <w:p w:rsidR="38074835" w:rsidP="38074835" w:rsidRDefault="38074835" w14:paraId="23074875" w14:textId="02631041">
      <w:pPr>
        <w:pStyle w:val="Normal"/>
        <w:jc w:val="left"/>
        <w:rPr>
          <w:sz w:val="52"/>
          <w:szCs w:val="52"/>
        </w:rPr>
      </w:pPr>
      <w:r w:rsidRPr="38074835" w:rsidR="38074835">
        <w:rPr>
          <w:sz w:val="52"/>
          <w:szCs w:val="52"/>
        </w:rPr>
        <w:t>所得稅基本額</w:t>
      </w:r>
    </w:p>
    <w:p w:rsidR="38074835" w:rsidP="38074835" w:rsidRDefault="38074835" w14:paraId="222BD857" w14:textId="59C6F44B">
      <w:pPr>
        <w:pStyle w:val="Normal"/>
        <w:jc w:val="left"/>
        <w:rPr>
          <w:sz w:val="48"/>
          <w:szCs w:val="48"/>
        </w:rPr>
      </w:pPr>
      <w:r w:rsidRPr="38074835" w:rsidR="38074835">
        <w:rPr>
          <w:sz w:val="48"/>
          <w:szCs w:val="48"/>
        </w:rPr>
        <w:t>營利事業</w:t>
      </w:r>
    </w:p>
    <w:p w:rsidR="38074835" w:rsidP="38074835" w:rsidRDefault="38074835" w14:paraId="0622E9AD" w14:textId="6DF4B0A7">
      <w:pPr>
        <w:pStyle w:val="Normal"/>
        <w:jc w:val="left"/>
        <w:rPr>
          <w:sz w:val="40"/>
          <w:szCs w:val="40"/>
        </w:rPr>
      </w:pPr>
      <w:r w:rsidRPr="38074835" w:rsidR="38074835">
        <w:rPr>
          <w:sz w:val="40"/>
          <w:szCs w:val="40"/>
        </w:rPr>
        <w:t>適用範圍</w:t>
      </w:r>
    </w:p>
    <w:p w:rsidR="38074835" w:rsidP="38074835" w:rsidRDefault="38074835" w14:paraId="73078771" w14:textId="2FF605E7">
      <w:pPr>
        <w:pStyle w:val="Normal"/>
        <w:rPr>
          <w:noProof w:val="0"/>
          <w:lang w:val="en-US"/>
        </w:rPr>
      </w:pPr>
      <w:r w:rsidRPr="38074835" w:rsidR="38074835">
        <w:rPr>
          <w:noProof w:val="0"/>
          <w:lang w:val="en-US"/>
        </w:rPr>
        <w:t>法條：</w:t>
      </w:r>
    </w:p>
    <w:p w:rsidR="38074835" w:rsidP="38074835" w:rsidRDefault="38074835" w14:paraId="397ED3EF" w14:textId="6F0D7ABA">
      <w:pPr>
        <w:pStyle w:val="ListParagraph"/>
        <w:numPr>
          <w:ilvl w:val="0"/>
          <w:numId w:val="1"/>
        </w:numPr>
        <w:rPr>
          <w:noProof w:val="0"/>
          <w:lang w:val="en-US"/>
        </w:rPr>
      </w:pPr>
    </w:p>
    <w:p w:rsidR="38074835" w:rsidP="38074835" w:rsidRDefault="38074835" w14:paraId="5857A233" w14:textId="1DD14F9C">
      <w:pPr>
        <w:pStyle w:val="Normal"/>
        <w:ind w:left="0"/>
        <w:rPr>
          <w:noProof w:val="0"/>
          <w:lang w:val="en-US"/>
        </w:rPr>
      </w:pPr>
      <w:r w:rsidRPr="38074835" w:rsidR="38074835">
        <w:rPr>
          <w:noProof w:val="0"/>
          <w:lang w:val="en-US"/>
        </w:rPr>
        <w:t>所得基本稅額條例</w:t>
      </w:r>
      <w:r w:rsidRPr="38074835" w:rsidR="38074835">
        <w:rPr>
          <w:noProof w:val="0"/>
          <w:lang w:val="en-US"/>
        </w:rPr>
        <w:t>第4條。</w:t>
      </w:r>
    </w:p>
    <w:p w:rsidR="38074835" w:rsidP="38074835" w:rsidRDefault="38074835" w14:paraId="4AAF2F19" w14:textId="593A131D">
      <w:pPr>
        <w:pStyle w:val="Normal"/>
        <w:ind w:left="0"/>
        <w:rPr>
          <w:noProof w:val="0"/>
          <w:lang w:val="en-US"/>
        </w:rPr>
      </w:pPr>
    </w:p>
    <w:p w:rsidR="38074835" w:rsidP="38074835" w:rsidRDefault="38074835" w14:paraId="036D802C" w14:textId="26E344CA">
      <w:pPr>
        <w:pStyle w:val="Normal"/>
        <w:ind w:left="0"/>
        <w:rPr>
          <w:noProof w:val="0"/>
          <w:lang w:val="en-US"/>
        </w:rPr>
      </w:pPr>
      <w:r w:rsidRPr="38074835" w:rsidR="38074835">
        <w:rPr>
          <w:noProof w:val="0"/>
          <w:lang w:val="en-US"/>
        </w:rPr>
        <w:t>法條內容：</w:t>
      </w:r>
    </w:p>
    <w:p w:rsidR="38074835" w:rsidP="38074835" w:rsidRDefault="38074835" w14:paraId="3280405F" w14:textId="02FA706A">
      <w:pPr>
        <w:pStyle w:val="Normal"/>
        <w:rPr/>
      </w:pPr>
      <w:hyperlink r:id="R1b19f29b3b2f4932">
        <w:r w:rsidRPr="38074835" w:rsidR="38074835">
          <w:rPr>
            <w:rStyle w:val="Hyperlink"/>
            <w:noProof w:val="0"/>
            <w:lang w:val="en-US"/>
          </w:rPr>
          <w:t>第 4 條</w:t>
        </w:r>
      </w:hyperlink>
    </w:p>
    <w:p w:rsidR="38074835" w:rsidP="38074835" w:rsidRDefault="38074835" w14:paraId="62AE89F8" w14:textId="15FF3E16">
      <w:pPr>
        <w:pStyle w:val="Normal"/>
        <w:rPr>
          <w:noProof w:val="0"/>
          <w:lang w:val="en-US"/>
        </w:rPr>
      </w:pPr>
      <w:r w:rsidRPr="38074835" w:rsidR="38074835">
        <w:rPr>
          <w:noProof w:val="0"/>
          <w:lang w:val="en-US"/>
        </w:rPr>
        <w:t>營利事業或個人依本條例規定計算之一般所得稅額高於或等於基本稅額者，該營利事業或個人當年度應繳納之所得稅，應按所得稅法及其他相關法律規定計算認定之。一般所得稅額低於基本稅額者，其應繳納之所得稅，除按所得稅法及其他相關法律計算認定外，應另就基本稅額與一般所得稅額之差額認定之。</w:t>
      </w:r>
    </w:p>
    <w:p w:rsidR="38074835" w:rsidP="38074835" w:rsidRDefault="38074835" w14:paraId="47214FD4" w14:textId="1B59E7C9">
      <w:pPr>
        <w:pStyle w:val="Normal"/>
        <w:rPr>
          <w:noProof w:val="0"/>
          <w:lang w:val="en-US"/>
        </w:rPr>
      </w:pPr>
      <w:r w:rsidRPr="38074835" w:rsidR="38074835">
        <w:rPr>
          <w:noProof w:val="0"/>
          <w:lang w:val="en-US"/>
        </w:rPr>
        <w:t>前項差額，不得以其他法律規定之投資抵減稅額減除之</w:t>
      </w:r>
      <w:r w:rsidRPr="38074835" w:rsidR="38074835">
        <w:rPr>
          <w:noProof w:val="0"/>
          <w:lang w:val="en-US"/>
        </w:rPr>
        <w:t>。</w:t>
      </w:r>
    </w:p>
    <w:p w:rsidR="38074835" w:rsidP="38074835" w:rsidRDefault="38074835" w14:paraId="59B65E77" w14:textId="5A9F006D">
      <w:pPr>
        <w:pStyle w:val="Normal"/>
        <w:rPr>
          <w:noProof w:val="0"/>
          <w:lang w:val="en-US"/>
        </w:rPr>
      </w:pPr>
    </w:p>
    <w:p w:rsidR="38074835" w:rsidP="38074835" w:rsidRDefault="38074835" w14:paraId="62414D68" w14:textId="2706D7C3">
      <w:pPr>
        <w:pStyle w:val="Normal"/>
        <w:jc w:val="left"/>
        <w:rPr>
          <w:sz w:val="36"/>
          <w:szCs w:val="36"/>
        </w:rPr>
      </w:pPr>
      <w:r w:rsidRPr="38074835" w:rsidR="38074835">
        <w:rPr>
          <w:sz w:val="36"/>
          <w:szCs w:val="36"/>
        </w:rPr>
        <w:t>例外</w:t>
      </w:r>
    </w:p>
    <w:p w:rsidR="38074835" w:rsidP="38074835" w:rsidRDefault="38074835" w14:paraId="0AA4B43A" w14:textId="4AD51C59">
      <w:pPr>
        <w:pStyle w:val="Normal"/>
        <w:jc w:val="left"/>
        <w:rPr>
          <w:sz w:val="36"/>
          <w:szCs w:val="36"/>
        </w:rPr>
      </w:pPr>
      <w:r w:rsidRPr="38074835" w:rsidR="38074835">
        <w:rPr>
          <w:sz w:val="24"/>
          <w:szCs w:val="24"/>
        </w:rPr>
        <w:t>法條：</w:t>
      </w:r>
    </w:p>
    <w:p w:rsidR="38074835" w:rsidP="38074835" w:rsidRDefault="38074835" w14:paraId="08B1DC87" w14:textId="3BAC784E">
      <w:pPr>
        <w:pStyle w:val="ListParagraph"/>
        <w:numPr>
          <w:ilvl w:val="0"/>
          <w:numId w:val="2"/>
        </w:numPr>
        <w:jc w:val="left"/>
        <w:rPr>
          <w:sz w:val="24"/>
          <w:szCs w:val="24"/>
        </w:rPr>
      </w:pPr>
    </w:p>
    <w:p w:rsidR="38074835" w:rsidP="38074835" w:rsidRDefault="38074835" w14:paraId="0F635F4B" w14:textId="2F4AE457">
      <w:pPr>
        <w:pStyle w:val="Normal"/>
        <w:ind w:left="0"/>
        <w:jc w:val="left"/>
        <w:rPr>
          <w:sz w:val="24"/>
          <w:szCs w:val="24"/>
        </w:rPr>
      </w:pPr>
      <w:r w:rsidRPr="38074835" w:rsidR="38074835">
        <w:rPr>
          <w:sz w:val="24"/>
          <w:szCs w:val="24"/>
        </w:rPr>
        <w:t>所得基本稅額條例第3條。</w:t>
      </w:r>
    </w:p>
    <w:p w:rsidR="38074835" w:rsidP="38074835" w:rsidRDefault="38074835" w14:paraId="59CFE8D4" w14:textId="1F510B74">
      <w:pPr>
        <w:pStyle w:val="Normal"/>
        <w:ind w:left="0"/>
        <w:jc w:val="left"/>
        <w:rPr>
          <w:sz w:val="24"/>
          <w:szCs w:val="24"/>
        </w:rPr>
      </w:pPr>
    </w:p>
    <w:p w:rsidR="38074835" w:rsidP="38074835" w:rsidRDefault="38074835" w14:paraId="4C80B76B" w14:textId="4A19BD89">
      <w:pPr>
        <w:pStyle w:val="Normal"/>
        <w:ind w:left="0"/>
        <w:jc w:val="left"/>
        <w:rPr>
          <w:sz w:val="24"/>
          <w:szCs w:val="24"/>
        </w:rPr>
      </w:pPr>
      <w:r w:rsidRPr="38074835" w:rsidR="38074835">
        <w:rPr>
          <w:sz w:val="24"/>
          <w:szCs w:val="24"/>
        </w:rPr>
        <w:t>法條內容：</w:t>
      </w:r>
    </w:p>
    <w:p w:rsidR="38074835" w:rsidP="38074835" w:rsidRDefault="38074835" w14:paraId="1276315C" w14:textId="0CB19EA3">
      <w:pPr>
        <w:pStyle w:val="Normal"/>
        <w:rPr/>
      </w:pPr>
      <w:hyperlink r:id="R9813ee8a4de74bca">
        <w:r w:rsidRPr="38074835" w:rsidR="38074835">
          <w:rPr>
            <w:rStyle w:val="Hyperlink"/>
            <w:noProof w:val="0"/>
            <w:lang w:val="en-US"/>
          </w:rPr>
          <w:t>第 3 條</w:t>
        </w:r>
      </w:hyperlink>
    </w:p>
    <w:p w:rsidR="38074835" w:rsidP="38074835" w:rsidRDefault="38074835" w14:paraId="6C849CC4" w14:textId="04519FC2">
      <w:pPr>
        <w:pStyle w:val="Normal"/>
        <w:rPr>
          <w:noProof w:val="0"/>
          <w:lang w:val="en-US"/>
        </w:rPr>
      </w:pPr>
      <w:r w:rsidRPr="38074835" w:rsidR="38074835">
        <w:rPr>
          <w:noProof w:val="0"/>
          <w:lang w:val="en-US"/>
        </w:rPr>
        <w:t>營利事業或個人除符合下列各款規定之一者外，應依本條例規定繳納所得稅</w:t>
      </w:r>
      <w:r w:rsidRPr="38074835" w:rsidR="38074835">
        <w:rPr>
          <w:noProof w:val="0"/>
          <w:lang w:val="en-US"/>
        </w:rPr>
        <w:t>：</w:t>
      </w:r>
    </w:p>
    <w:p w:rsidR="38074835" w:rsidP="38074835" w:rsidRDefault="38074835" w14:paraId="78C6110F" w14:textId="5EFB0CE7">
      <w:pPr>
        <w:pStyle w:val="Normal"/>
        <w:rPr>
          <w:noProof w:val="0"/>
          <w:lang w:val="en-US"/>
        </w:rPr>
      </w:pPr>
      <w:r w:rsidRPr="38074835" w:rsidR="38074835">
        <w:rPr>
          <w:noProof w:val="0"/>
          <w:lang w:val="en-US"/>
        </w:rPr>
        <w:t>一、獨資或合夥組織之營利事業</w:t>
      </w:r>
      <w:r w:rsidRPr="38074835" w:rsidR="38074835">
        <w:rPr>
          <w:noProof w:val="0"/>
          <w:lang w:val="en-US"/>
        </w:rPr>
        <w:t>。</w:t>
      </w:r>
    </w:p>
    <w:p w:rsidR="38074835" w:rsidP="38074835" w:rsidRDefault="38074835" w14:paraId="083EA06B" w14:textId="079F2D48">
      <w:pPr>
        <w:pStyle w:val="Normal"/>
        <w:rPr>
          <w:noProof w:val="0"/>
          <w:lang w:val="en-US"/>
        </w:rPr>
      </w:pPr>
      <w:r w:rsidRPr="38074835" w:rsidR="38074835">
        <w:rPr>
          <w:noProof w:val="0"/>
          <w:lang w:val="en-US"/>
        </w:rPr>
        <w:t>二、所得稅法第四條第一項第十三款規定之教育、文化、公益、慈善機關或團體</w:t>
      </w:r>
      <w:r w:rsidRPr="38074835" w:rsidR="38074835">
        <w:rPr>
          <w:noProof w:val="0"/>
          <w:lang w:val="en-US"/>
        </w:rPr>
        <w:t>。</w:t>
      </w:r>
    </w:p>
    <w:p w:rsidR="38074835" w:rsidP="38074835" w:rsidRDefault="38074835" w14:paraId="65F9E991" w14:textId="3744AE6D">
      <w:pPr>
        <w:pStyle w:val="Normal"/>
        <w:rPr>
          <w:noProof w:val="0"/>
          <w:lang w:val="en-US"/>
        </w:rPr>
      </w:pPr>
      <w:r w:rsidRPr="38074835" w:rsidR="38074835">
        <w:rPr>
          <w:noProof w:val="0"/>
          <w:lang w:val="en-US"/>
        </w:rPr>
        <w:t>三、所得稅法第四條第一項第十四款規定之消費合作社</w:t>
      </w:r>
      <w:r w:rsidRPr="38074835" w:rsidR="38074835">
        <w:rPr>
          <w:noProof w:val="0"/>
          <w:lang w:val="en-US"/>
        </w:rPr>
        <w:t>。</w:t>
      </w:r>
    </w:p>
    <w:p w:rsidR="38074835" w:rsidP="38074835" w:rsidRDefault="38074835" w14:paraId="2F163EA2" w14:textId="21946BB9">
      <w:pPr>
        <w:pStyle w:val="Normal"/>
        <w:rPr>
          <w:noProof w:val="0"/>
          <w:lang w:val="en-US"/>
        </w:rPr>
      </w:pPr>
      <w:r w:rsidRPr="38074835" w:rsidR="38074835">
        <w:rPr>
          <w:noProof w:val="0"/>
          <w:lang w:val="en-US"/>
        </w:rPr>
        <w:t>四、所得稅法第四條第一項第十九款規定之各級政府公有事業</w:t>
      </w:r>
      <w:r w:rsidRPr="38074835" w:rsidR="38074835">
        <w:rPr>
          <w:noProof w:val="0"/>
          <w:lang w:val="en-US"/>
        </w:rPr>
        <w:t>。</w:t>
      </w:r>
    </w:p>
    <w:p w:rsidR="38074835" w:rsidP="38074835" w:rsidRDefault="38074835" w14:paraId="2CB66903" w14:textId="7422C3D2">
      <w:pPr>
        <w:pStyle w:val="Normal"/>
        <w:rPr>
          <w:noProof w:val="0"/>
          <w:lang w:val="en-US"/>
        </w:rPr>
      </w:pPr>
      <w:r w:rsidRPr="38074835" w:rsidR="38074835">
        <w:rPr>
          <w:noProof w:val="0"/>
          <w:lang w:val="en-US"/>
        </w:rPr>
        <w:t>五、所得稅法第七十三條第一項規定之非中華民國境內居住之個人或在中華民國境內無固定營業場所及營業代理人之營利事業</w:t>
      </w:r>
      <w:r w:rsidRPr="38074835" w:rsidR="38074835">
        <w:rPr>
          <w:noProof w:val="0"/>
          <w:lang w:val="en-US"/>
        </w:rPr>
        <w:t>。</w:t>
      </w:r>
    </w:p>
    <w:p w:rsidR="38074835" w:rsidP="38074835" w:rsidRDefault="38074835" w14:paraId="0B4E052C" w14:textId="23A96726">
      <w:pPr>
        <w:pStyle w:val="Normal"/>
        <w:rPr>
          <w:noProof w:val="0"/>
          <w:lang w:val="en-US"/>
        </w:rPr>
      </w:pPr>
      <w:r w:rsidRPr="38074835" w:rsidR="38074835">
        <w:rPr>
          <w:noProof w:val="0"/>
          <w:lang w:val="en-US"/>
        </w:rPr>
        <w:t>六、依所得稅法第七十五條第二項規定辦理清算申報或同條第六項所定經宣告破產之營利事業</w:t>
      </w:r>
      <w:r w:rsidRPr="38074835" w:rsidR="38074835">
        <w:rPr>
          <w:noProof w:val="0"/>
          <w:lang w:val="en-US"/>
        </w:rPr>
        <w:t>。</w:t>
      </w:r>
    </w:p>
    <w:p w:rsidR="38074835" w:rsidP="38074835" w:rsidRDefault="38074835" w14:paraId="099B7B3D" w14:textId="264623EE">
      <w:pPr>
        <w:pStyle w:val="Normal"/>
        <w:rPr>
          <w:noProof w:val="0"/>
          <w:lang w:val="en-US"/>
        </w:rPr>
      </w:pPr>
      <w:r w:rsidRPr="38074835" w:rsidR="38074835">
        <w:rPr>
          <w:noProof w:val="0"/>
          <w:lang w:val="en-US"/>
        </w:rPr>
        <w:t>七、所得稅結算或決算申報未適用法律規定之投資抵減獎勵，且無第七條第一項各款規定所得額之營利事業</w:t>
      </w:r>
      <w:r w:rsidRPr="38074835" w:rsidR="38074835">
        <w:rPr>
          <w:noProof w:val="0"/>
          <w:lang w:val="en-US"/>
        </w:rPr>
        <w:t>。</w:t>
      </w:r>
    </w:p>
    <w:p w:rsidR="38074835" w:rsidP="38074835" w:rsidRDefault="38074835" w14:paraId="5EF79170" w14:textId="7DD8EFDE">
      <w:pPr>
        <w:pStyle w:val="Normal"/>
        <w:rPr>
          <w:noProof w:val="0"/>
          <w:lang w:val="en-US"/>
        </w:rPr>
      </w:pPr>
      <w:r w:rsidRPr="38074835" w:rsidR="38074835">
        <w:rPr>
          <w:noProof w:val="0"/>
          <w:lang w:val="en-US"/>
        </w:rPr>
        <w:t>八、所得稅結算申報未適用法律規定之投資抵減獎勵，且無第十二條第一項各款及第十二條之一第一項規定金額之個人</w:t>
      </w:r>
      <w:r w:rsidRPr="38074835" w:rsidR="38074835">
        <w:rPr>
          <w:noProof w:val="0"/>
          <w:lang w:val="en-US"/>
        </w:rPr>
        <w:t>。</w:t>
      </w:r>
    </w:p>
    <w:p w:rsidR="38074835" w:rsidP="38074835" w:rsidRDefault="38074835" w14:paraId="3B3F7D21" w14:textId="2142F03C">
      <w:pPr>
        <w:pStyle w:val="Normal"/>
        <w:rPr>
          <w:noProof w:val="0"/>
          <w:lang w:val="en-US"/>
        </w:rPr>
      </w:pPr>
      <w:r w:rsidRPr="38074835" w:rsidR="38074835">
        <w:rPr>
          <w:noProof w:val="0"/>
          <w:lang w:val="en-US"/>
        </w:rPr>
        <w:t>九、依第七條第一項規定計算之基本所得額在新臺幣五十萬元以下之營利事業</w:t>
      </w:r>
      <w:r w:rsidRPr="38074835" w:rsidR="38074835">
        <w:rPr>
          <w:noProof w:val="0"/>
          <w:lang w:val="en-US"/>
        </w:rPr>
        <w:t>。</w:t>
      </w:r>
    </w:p>
    <w:p w:rsidR="38074835" w:rsidP="38074835" w:rsidRDefault="38074835" w14:paraId="50000155" w14:textId="226A1AD4">
      <w:pPr>
        <w:pStyle w:val="Normal"/>
        <w:rPr>
          <w:noProof w:val="0"/>
          <w:lang w:val="en-US"/>
        </w:rPr>
      </w:pPr>
      <w:r w:rsidRPr="38074835" w:rsidR="38074835">
        <w:rPr>
          <w:noProof w:val="0"/>
          <w:lang w:val="en-US"/>
        </w:rPr>
        <w:t>十、依第十二條第一項及第十二條之一第一項規定計算之基本所得額合計在新臺幣六百萬元以下之個人</w:t>
      </w:r>
      <w:r w:rsidRPr="38074835" w:rsidR="38074835">
        <w:rPr>
          <w:noProof w:val="0"/>
          <w:lang w:val="en-US"/>
        </w:rPr>
        <w:t>。</w:t>
      </w:r>
    </w:p>
    <w:p w:rsidR="38074835" w:rsidP="38074835" w:rsidRDefault="38074835" w14:paraId="14319419" w14:textId="421867F6">
      <w:pPr>
        <w:pStyle w:val="Normal"/>
        <w:rPr>
          <w:noProof w:val="0"/>
          <w:lang w:val="en-US"/>
        </w:rPr>
      </w:pPr>
      <w:r w:rsidRPr="38074835" w:rsidR="38074835">
        <w:rPr>
          <w:noProof w:val="0"/>
          <w:lang w:val="en-US"/>
        </w:rPr>
        <w:t>前項第九款及第十款規定之金額，每遇消費者物價指數較上次調整年度之指數上漲累計達百分之十以上時，按上漲程度調整之。調整金額以新臺幣十萬元為單位，未達新臺幣十萬元者，按萬元數四捨五入；其調整之公告方式及所稱消費者物價指數，準用所得稅法第五條第四項規定。</w:t>
      </w:r>
    </w:p>
    <w:p w:rsidR="38074835" w:rsidP="38074835" w:rsidRDefault="38074835" w14:paraId="4396D2C5" w14:textId="7D06930A">
      <w:pPr>
        <w:pStyle w:val="Normal"/>
        <w:ind w:left="0"/>
        <w:jc w:val="left"/>
        <w:rPr>
          <w:sz w:val="24"/>
          <w:szCs w:val="24"/>
        </w:rPr>
      </w:pPr>
    </w:p>
    <w:p w:rsidR="38074835" w:rsidP="38074835" w:rsidRDefault="38074835" w14:paraId="7C2B161D" w14:textId="2D35A24E">
      <w:pPr>
        <w:pStyle w:val="Normal"/>
        <w:jc w:val="left"/>
        <w:rPr>
          <w:sz w:val="40"/>
          <w:szCs w:val="40"/>
        </w:rPr>
      </w:pPr>
      <w:r w:rsidRPr="38074835" w:rsidR="38074835">
        <w:rPr>
          <w:sz w:val="40"/>
          <w:szCs w:val="40"/>
        </w:rPr>
        <w:t>計算方式</w:t>
      </w:r>
    </w:p>
    <w:p w:rsidR="38074835" w:rsidP="38074835" w:rsidRDefault="38074835" w14:paraId="2740F1E5" w14:textId="1EC3166F">
      <w:pPr>
        <w:pStyle w:val="Normal"/>
        <w:jc w:val="left"/>
        <w:rPr>
          <w:sz w:val="40"/>
          <w:szCs w:val="40"/>
        </w:rPr>
      </w:pPr>
      <w:r w:rsidRPr="38074835" w:rsidR="38074835">
        <w:rPr>
          <w:sz w:val="24"/>
          <w:szCs w:val="24"/>
        </w:rPr>
        <w:t>法條</w:t>
      </w:r>
      <w:r w:rsidRPr="38074835" w:rsidR="38074835">
        <w:rPr>
          <w:sz w:val="24"/>
          <w:szCs w:val="24"/>
        </w:rPr>
        <w:t>：</w:t>
      </w:r>
    </w:p>
    <w:p w:rsidR="38074835" w:rsidP="38074835" w:rsidRDefault="38074835" w14:paraId="4AB9F703" w14:textId="3F3029CF">
      <w:pPr>
        <w:pStyle w:val="ListParagraph"/>
        <w:numPr>
          <w:ilvl w:val="0"/>
          <w:numId w:val="3"/>
        </w:numPr>
        <w:jc w:val="left"/>
        <w:rPr>
          <w:sz w:val="24"/>
          <w:szCs w:val="24"/>
        </w:rPr>
      </w:pPr>
      <w:r w:rsidRPr="38074835" w:rsidR="38074835">
        <w:rPr>
          <w:sz w:val="24"/>
          <w:szCs w:val="24"/>
        </w:rPr>
        <w:t>所得基本稅額條例第7條。</w:t>
      </w:r>
    </w:p>
    <w:p w:rsidR="38074835" w:rsidP="38074835" w:rsidRDefault="38074835" w14:paraId="4CDDBB8E" w14:textId="2E2BFF78">
      <w:pPr>
        <w:pStyle w:val="Normal"/>
        <w:jc w:val="left"/>
        <w:rPr>
          <w:sz w:val="24"/>
          <w:szCs w:val="24"/>
        </w:rPr>
      </w:pPr>
      <w:r w:rsidRPr="38074835" w:rsidR="38074835">
        <w:rPr>
          <w:sz w:val="24"/>
          <w:szCs w:val="24"/>
        </w:rPr>
        <w:t>法條內容</w:t>
      </w:r>
      <w:r w:rsidRPr="38074835" w:rsidR="38074835">
        <w:rPr>
          <w:sz w:val="24"/>
          <w:szCs w:val="24"/>
        </w:rPr>
        <w:t>：</w:t>
      </w:r>
    </w:p>
    <w:p w:rsidR="38074835" w:rsidP="38074835" w:rsidRDefault="38074835" w14:paraId="55F8D13B" w14:textId="7BFDADB5">
      <w:pPr>
        <w:pStyle w:val="Normal"/>
        <w:rPr/>
      </w:pPr>
      <w:hyperlink r:id="R933db6be579d4095">
        <w:r w:rsidRPr="38074835" w:rsidR="38074835">
          <w:rPr>
            <w:rStyle w:val="Hyperlink"/>
            <w:noProof w:val="0"/>
            <w:lang w:val="en-US"/>
          </w:rPr>
          <w:t>第 7 條</w:t>
        </w:r>
      </w:hyperlink>
    </w:p>
    <w:p w:rsidR="38074835" w:rsidP="38074835" w:rsidRDefault="38074835" w14:paraId="5C290B90" w14:textId="696EC6E5">
      <w:pPr>
        <w:pStyle w:val="Normal"/>
        <w:rPr>
          <w:noProof w:val="0"/>
          <w:lang w:val="en-US"/>
        </w:rPr>
      </w:pPr>
      <w:r w:rsidRPr="38074835" w:rsidR="38074835">
        <w:rPr>
          <w:noProof w:val="0"/>
          <w:lang w:val="en-US"/>
        </w:rPr>
        <w:t>營利事業之基本所得額，為依所得稅法規定計算之課稅所得額，加計下列各款所得額後之合計數</w:t>
      </w:r>
      <w:r w:rsidRPr="38074835" w:rsidR="38074835">
        <w:rPr>
          <w:noProof w:val="0"/>
          <w:lang w:val="en-US"/>
        </w:rPr>
        <w:t>：</w:t>
      </w:r>
    </w:p>
    <w:p w:rsidR="38074835" w:rsidP="38074835" w:rsidRDefault="38074835" w14:paraId="529F08FA" w14:textId="0C1D7076">
      <w:pPr>
        <w:pStyle w:val="Normal"/>
        <w:rPr>
          <w:noProof w:val="0"/>
          <w:lang w:val="en-US"/>
        </w:rPr>
      </w:pPr>
      <w:r w:rsidRPr="38074835" w:rsidR="38074835">
        <w:rPr>
          <w:noProof w:val="0"/>
          <w:lang w:val="en-US"/>
        </w:rPr>
        <w:t>一、依所得稅法第四條之一及第四條之二規定停止課徵所得稅之所得額</w:t>
      </w:r>
      <w:r w:rsidRPr="38074835" w:rsidR="38074835">
        <w:rPr>
          <w:noProof w:val="0"/>
          <w:lang w:val="en-US"/>
        </w:rPr>
        <w:t>。</w:t>
      </w:r>
    </w:p>
    <w:p w:rsidR="38074835" w:rsidP="38074835" w:rsidRDefault="38074835" w14:paraId="4C5C139A" w14:textId="6C97DEBD">
      <w:pPr>
        <w:pStyle w:val="Normal"/>
        <w:rPr>
          <w:noProof w:val="0"/>
          <w:lang w:val="en-US"/>
        </w:rPr>
      </w:pPr>
      <w:r w:rsidRPr="38074835" w:rsidR="38074835">
        <w:rPr>
          <w:noProof w:val="0"/>
          <w:lang w:val="en-US"/>
        </w:rPr>
        <w:t>二、依廢止前促進產業升級條例第九條、第九條之二、第十條、第十五條及第七十條之一規定免徵營利事業所得稅之所得額</w:t>
      </w:r>
      <w:r w:rsidRPr="38074835" w:rsidR="38074835">
        <w:rPr>
          <w:noProof w:val="0"/>
          <w:lang w:val="en-US"/>
        </w:rPr>
        <w:t>。</w:t>
      </w:r>
    </w:p>
    <w:p w:rsidR="38074835" w:rsidP="38074835" w:rsidRDefault="38074835" w14:paraId="66FF900B" w14:textId="4F7C3BFC">
      <w:pPr>
        <w:pStyle w:val="Normal"/>
        <w:rPr>
          <w:noProof w:val="0"/>
          <w:lang w:val="en-US"/>
        </w:rPr>
      </w:pPr>
      <w:r w:rsidRPr="38074835" w:rsidR="38074835">
        <w:rPr>
          <w:noProof w:val="0"/>
          <w:lang w:val="en-US"/>
        </w:rPr>
        <w:t>三、依已廢止之促進產業升級條例於中華民國八十八年十二月三十一日修正施行前第八條之一規定免徵營利事業所得稅之所得額</w:t>
      </w:r>
      <w:r w:rsidRPr="38074835" w:rsidR="38074835">
        <w:rPr>
          <w:noProof w:val="0"/>
          <w:lang w:val="en-US"/>
        </w:rPr>
        <w:t>。</w:t>
      </w:r>
    </w:p>
    <w:p w:rsidR="38074835" w:rsidP="38074835" w:rsidRDefault="38074835" w14:paraId="0058C3C9" w14:textId="1FAE2A5E">
      <w:pPr>
        <w:pStyle w:val="Normal"/>
        <w:rPr>
          <w:noProof w:val="0"/>
          <w:lang w:val="en-US"/>
        </w:rPr>
      </w:pPr>
      <w:r w:rsidRPr="38074835" w:rsidR="38074835">
        <w:rPr>
          <w:noProof w:val="0"/>
          <w:lang w:val="en-US"/>
        </w:rPr>
        <w:t>四、依獎勵民間參與交通建設條例第二十八條規定免納營利事業所得稅之所得額</w:t>
      </w:r>
      <w:r w:rsidRPr="38074835" w:rsidR="38074835">
        <w:rPr>
          <w:noProof w:val="0"/>
          <w:lang w:val="en-US"/>
        </w:rPr>
        <w:t>。</w:t>
      </w:r>
    </w:p>
    <w:p w:rsidR="38074835" w:rsidP="38074835" w:rsidRDefault="38074835" w14:paraId="0F4F7A00" w14:textId="204587E1">
      <w:pPr>
        <w:pStyle w:val="Normal"/>
        <w:rPr>
          <w:noProof w:val="0"/>
          <w:lang w:val="en-US"/>
        </w:rPr>
      </w:pPr>
      <w:r w:rsidRPr="38074835" w:rsidR="38074835">
        <w:rPr>
          <w:noProof w:val="0"/>
          <w:lang w:val="en-US"/>
        </w:rPr>
        <w:t>五、依促進民間參與公共建設法第三十六條規定免納營利事業所得稅之所得額</w:t>
      </w:r>
      <w:r w:rsidRPr="38074835" w:rsidR="38074835">
        <w:rPr>
          <w:noProof w:val="0"/>
          <w:lang w:val="en-US"/>
        </w:rPr>
        <w:t>。</w:t>
      </w:r>
    </w:p>
    <w:p w:rsidR="38074835" w:rsidP="38074835" w:rsidRDefault="38074835" w14:paraId="75B903AB" w14:textId="62CA076E">
      <w:pPr>
        <w:pStyle w:val="Normal"/>
        <w:rPr>
          <w:noProof w:val="0"/>
          <w:lang w:val="en-US"/>
        </w:rPr>
      </w:pPr>
      <w:r w:rsidRPr="38074835" w:rsidR="38074835">
        <w:rPr>
          <w:noProof w:val="0"/>
          <w:lang w:val="en-US"/>
        </w:rPr>
        <w:t>六、依科學工業園區設置管理條例第十八條規定免徵營利事業所得稅之所得額</w:t>
      </w:r>
      <w:r w:rsidRPr="38074835" w:rsidR="38074835">
        <w:rPr>
          <w:noProof w:val="0"/>
          <w:lang w:val="en-US"/>
        </w:rPr>
        <w:t>。</w:t>
      </w:r>
    </w:p>
    <w:p w:rsidR="38074835" w:rsidP="38074835" w:rsidRDefault="38074835" w14:paraId="42454B8F" w14:textId="15560141">
      <w:pPr>
        <w:pStyle w:val="Normal"/>
        <w:rPr>
          <w:noProof w:val="0"/>
          <w:lang w:val="en-US"/>
        </w:rPr>
      </w:pPr>
      <w:r w:rsidRPr="38074835" w:rsidR="38074835">
        <w:rPr>
          <w:noProof w:val="0"/>
          <w:lang w:val="en-US"/>
        </w:rPr>
        <w:t>七、依中華民國九十年一月二十日修正施行前科學工業園區設置管理條例第十五條規定免徵營利事業所得稅之所得額</w:t>
      </w:r>
      <w:r w:rsidRPr="38074835" w:rsidR="38074835">
        <w:rPr>
          <w:noProof w:val="0"/>
          <w:lang w:val="en-US"/>
        </w:rPr>
        <w:t>。</w:t>
      </w:r>
    </w:p>
    <w:p w:rsidR="38074835" w:rsidP="38074835" w:rsidRDefault="38074835" w14:paraId="55D365A6" w14:textId="56F44A8E">
      <w:pPr>
        <w:pStyle w:val="Normal"/>
        <w:rPr>
          <w:noProof w:val="0"/>
          <w:lang w:val="en-US"/>
        </w:rPr>
      </w:pPr>
      <w:r w:rsidRPr="38074835" w:rsidR="38074835">
        <w:rPr>
          <w:noProof w:val="0"/>
          <w:lang w:val="en-US"/>
        </w:rPr>
        <w:t>八、依企業併購法第三十七條規定免徵營利事業所得稅之所得額</w:t>
      </w:r>
      <w:r w:rsidRPr="38074835" w:rsidR="38074835">
        <w:rPr>
          <w:noProof w:val="0"/>
          <w:lang w:val="en-US"/>
        </w:rPr>
        <w:t>。</w:t>
      </w:r>
    </w:p>
    <w:p w:rsidR="38074835" w:rsidP="38074835" w:rsidRDefault="38074835" w14:paraId="72BCF7F3" w14:textId="1ED02751">
      <w:pPr>
        <w:pStyle w:val="Normal"/>
        <w:rPr>
          <w:noProof w:val="0"/>
          <w:lang w:val="en-US"/>
        </w:rPr>
      </w:pPr>
      <w:r w:rsidRPr="38074835" w:rsidR="38074835">
        <w:rPr>
          <w:noProof w:val="0"/>
          <w:lang w:val="en-US"/>
        </w:rPr>
        <w:t>九、依國際金融業務條例第十三條規定免徵營利事業所得稅之所得額。但不包括依所得稅法第七十三條之一規定，就其授信收入總額按規定之扣繳率申報納稅之所得額。</w:t>
      </w:r>
    </w:p>
    <w:p w:rsidR="38074835" w:rsidP="38074835" w:rsidRDefault="38074835" w14:paraId="3AB6A524" w14:textId="1167C4CA">
      <w:pPr>
        <w:pStyle w:val="Normal"/>
        <w:rPr>
          <w:noProof w:val="0"/>
          <w:lang w:val="en-US"/>
        </w:rPr>
      </w:pPr>
      <w:r w:rsidRPr="38074835" w:rsidR="38074835">
        <w:rPr>
          <w:noProof w:val="0"/>
          <w:lang w:val="en-US"/>
        </w:rPr>
        <w:t>十、本條例施行後法律新增之減免營利事業所得稅之所得額及不計入所得課稅之所得額，經財政部公告者</w:t>
      </w:r>
      <w:r w:rsidRPr="38074835" w:rsidR="38074835">
        <w:rPr>
          <w:noProof w:val="0"/>
          <w:lang w:val="en-US"/>
        </w:rPr>
        <w:t>。</w:t>
      </w:r>
    </w:p>
    <w:p w:rsidR="38074835" w:rsidP="38074835" w:rsidRDefault="38074835" w14:paraId="611D512A" w14:textId="0BAB75EA">
      <w:pPr>
        <w:pStyle w:val="Normal"/>
        <w:rPr>
          <w:noProof w:val="0"/>
          <w:lang w:val="en-US"/>
        </w:rPr>
      </w:pPr>
      <w:r w:rsidRPr="38074835" w:rsidR="38074835">
        <w:rPr>
          <w:noProof w:val="0"/>
          <w:lang w:val="en-US"/>
        </w:rPr>
        <w:t>依前項第一款及第九款規定加計之所得額，於本條例施行後發生並經稽徵機關核定之損失，得自發生年度之次年度起五年內，從當年度各該款所得中減除。</w:t>
      </w:r>
    </w:p>
    <w:p w:rsidR="38074835" w:rsidP="38074835" w:rsidRDefault="38074835" w14:paraId="7106B7A1" w14:textId="3FA54A60">
      <w:pPr>
        <w:pStyle w:val="Normal"/>
        <w:rPr>
          <w:noProof w:val="0"/>
          <w:lang w:val="en-US"/>
        </w:rPr>
      </w:pPr>
      <w:r w:rsidRPr="38074835" w:rsidR="38074835">
        <w:rPr>
          <w:noProof w:val="0"/>
          <w:lang w:val="en-US"/>
        </w:rPr>
        <w:t>營利事業於一百零二年度以後出售其持有滿三年以上屬所得稅法第四條之一規定之股票者，於計算其當年度證券交易所得時，減除其當年度出售該持有滿三年以上股票之交易損失，餘額為正者，以餘額半數計入當年度證券交易所得；餘額為負者，依前項規定辦理。</w:t>
      </w:r>
    </w:p>
    <w:p w:rsidR="38074835" w:rsidP="38074835" w:rsidRDefault="38074835" w14:paraId="426C832B" w14:textId="3AF6F50E">
      <w:pPr>
        <w:pStyle w:val="Normal"/>
        <w:rPr>
          <w:noProof w:val="0"/>
          <w:lang w:val="en-US"/>
        </w:rPr>
      </w:pPr>
      <w:r w:rsidRPr="38074835" w:rsidR="38074835">
        <w:rPr>
          <w:noProof w:val="0"/>
          <w:lang w:val="en-US"/>
        </w:rPr>
        <w:t>依第一項第十款規定加計之減免所得額及不計入所得之所得額，其發生之損失，經財政部公告者，準用第二項規定</w:t>
      </w:r>
      <w:r w:rsidRPr="38074835" w:rsidR="38074835">
        <w:rPr>
          <w:noProof w:val="0"/>
          <w:lang w:val="en-US"/>
        </w:rPr>
        <w:t>。</w:t>
      </w:r>
    </w:p>
    <w:p w:rsidR="38074835" w:rsidP="38074835" w:rsidRDefault="38074835" w14:paraId="64EBBA3E" w14:textId="6B84DD84">
      <w:pPr>
        <w:pStyle w:val="Normal"/>
        <w:rPr>
          <w:noProof w:val="0"/>
          <w:lang w:val="en-US"/>
        </w:rPr>
      </w:pPr>
    </w:p>
    <w:p w:rsidR="38074835" w:rsidP="38074835" w:rsidRDefault="38074835" w14:paraId="4F7B8BB0" w14:textId="457A48C6">
      <w:pPr>
        <w:pStyle w:val="ListParagraph"/>
        <w:numPr>
          <w:ilvl w:val="0"/>
          <w:numId w:val="3"/>
        </w:numPr>
        <w:rPr>
          <w:noProof w:val="0"/>
          <w:lang w:val="en-US"/>
        </w:rPr>
      </w:pPr>
    </w:p>
    <w:p w:rsidR="38074835" w:rsidP="38074835" w:rsidRDefault="38074835" w14:paraId="23E85230" w14:textId="63CDB140">
      <w:pPr>
        <w:pStyle w:val="Normal"/>
        <w:ind w:left="0"/>
        <w:rPr>
          <w:noProof w:val="0"/>
          <w:lang w:val="en-US"/>
        </w:rPr>
      </w:pPr>
      <w:r w:rsidRPr="38074835" w:rsidR="38074835">
        <w:rPr>
          <w:noProof w:val="0"/>
          <w:lang w:val="en-US"/>
        </w:rPr>
        <w:t>所得基本稅額條例施行細則第5條第1項到第二項。</w:t>
      </w:r>
    </w:p>
    <w:p w:rsidR="38074835" w:rsidP="38074835" w:rsidRDefault="38074835" w14:paraId="71FD740F" w14:textId="5EA89E21">
      <w:pPr>
        <w:pStyle w:val="Normal"/>
        <w:ind w:left="0"/>
        <w:rPr>
          <w:noProof w:val="0"/>
          <w:lang w:val="en-US"/>
        </w:rPr>
      </w:pPr>
    </w:p>
    <w:p w:rsidR="38074835" w:rsidP="38074835" w:rsidRDefault="38074835" w14:paraId="2BF8A6FC" w14:textId="5B89C0D0">
      <w:pPr>
        <w:pStyle w:val="Normal"/>
        <w:ind w:left="0"/>
        <w:rPr>
          <w:noProof w:val="0"/>
          <w:lang w:val="en-US"/>
        </w:rPr>
      </w:pPr>
      <w:r w:rsidRPr="38074835" w:rsidR="38074835">
        <w:rPr>
          <w:noProof w:val="0"/>
          <w:lang w:val="en-US"/>
        </w:rPr>
        <w:t>法條內容：</w:t>
      </w:r>
    </w:p>
    <w:p w:rsidR="38074835" w:rsidP="38074835" w:rsidRDefault="38074835" w14:paraId="19B18AB8" w14:textId="44C5545A">
      <w:pPr>
        <w:pStyle w:val="Normal"/>
        <w:rPr/>
      </w:pPr>
      <w:hyperlink r:id="R11aeab4315e44f61">
        <w:r w:rsidRPr="38074835" w:rsidR="38074835">
          <w:rPr>
            <w:rStyle w:val="Hyperlink"/>
            <w:noProof w:val="0"/>
            <w:lang w:val="en-US"/>
          </w:rPr>
          <w:t>第 5 條</w:t>
        </w:r>
      </w:hyperlink>
    </w:p>
    <w:p w:rsidR="38074835" w:rsidP="38074835" w:rsidRDefault="38074835" w14:paraId="43714C40" w14:textId="1A5E103D">
      <w:pPr>
        <w:pStyle w:val="Normal"/>
        <w:rPr>
          <w:noProof w:val="0"/>
          <w:lang w:val="en-US"/>
        </w:rPr>
      </w:pPr>
      <w:r w:rsidRPr="38074835" w:rsidR="38074835">
        <w:rPr>
          <w:noProof w:val="0"/>
          <w:lang w:val="en-US"/>
        </w:rPr>
        <w:t>本條例第七條第一項所稱依所得稅法規定計算之課稅所得額，指依所得稅法第二十四條或第四十一條規定計算之所得額，加計依所得稅法第二十四條之五第一項至第三項及第五項規定分開計算應納稅額之所得額，減除依所得稅法及其他法律規定停徵、免徵或免納營利事業所得稅之所得額、加成或加倍減除之成本或費用及所得稅法第三十九條規定以往年度營業虧損後之金額。</w:t>
      </w:r>
    </w:p>
    <w:p w:rsidR="38074835" w:rsidP="38074835" w:rsidRDefault="38074835" w14:paraId="3F2B1AB6" w14:textId="4C57A336">
      <w:pPr>
        <w:pStyle w:val="Normal"/>
        <w:rPr>
          <w:noProof w:val="0"/>
          <w:lang w:val="en-US"/>
        </w:rPr>
      </w:pPr>
      <w:r w:rsidRPr="38074835" w:rsidR="38074835">
        <w:rPr>
          <w:noProof w:val="0"/>
          <w:lang w:val="en-US"/>
        </w:rPr>
        <w:t>營利事業計算前項課稅所得額時，除屬依所得稅法及國際金融業務條例規定停徵、免徵或免納營利事業所得稅之所得額，應先行減除外，其屬依其他法律規定免徵或免納營利事業所得稅之所得額、加成或加倍減除之成本或費用及所得稅法第三十九條規定之以往年度營業虧損之減除順序及金額，由營利事業於申報時自行擇定之。</w:t>
      </w:r>
    </w:p>
    <w:p w:rsidR="38074835" w:rsidP="38074835" w:rsidRDefault="38074835" w14:paraId="33644C9D" w14:textId="41ADC85D">
      <w:pPr>
        <w:pStyle w:val="Normal"/>
        <w:ind w:left="0"/>
        <w:rPr>
          <w:noProof w:val="0"/>
          <w:lang w:val="en-US"/>
        </w:rPr>
      </w:pPr>
    </w:p>
    <w:p w:rsidR="38074835" w:rsidP="38074835" w:rsidRDefault="38074835" w14:paraId="38A5FD5B" w14:textId="0E45705A">
      <w:pPr>
        <w:pStyle w:val="ListParagraph"/>
        <w:numPr>
          <w:ilvl w:val="0"/>
          <w:numId w:val="3"/>
        </w:numPr>
        <w:rPr>
          <w:noProof w:val="0"/>
          <w:lang w:val="en-US"/>
        </w:rPr>
      </w:pPr>
    </w:p>
    <w:p w:rsidR="38074835" w:rsidP="38074835" w:rsidRDefault="38074835" w14:paraId="7D2FF551" w14:textId="6C42AD2A">
      <w:pPr>
        <w:pStyle w:val="Normal"/>
        <w:ind w:left="0"/>
        <w:rPr>
          <w:noProof w:val="0"/>
          <w:lang w:val="en-US"/>
        </w:rPr>
      </w:pPr>
      <w:r w:rsidRPr="38074835" w:rsidR="38074835">
        <w:rPr>
          <w:noProof w:val="0"/>
          <w:lang w:val="en-US"/>
        </w:rPr>
        <w:t>所得基本稅額條例施行細則第8條。</w:t>
      </w:r>
    </w:p>
    <w:p w:rsidR="38074835" w:rsidP="38074835" w:rsidRDefault="38074835" w14:paraId="046F8F68" w14:textId="7279D9A1">
      <w:pPr>
        <w:pStyle w:val="Normal"/>
        <w:ind w:left="0"/>
        <w:rPr>
          <w:noProof w:val="0"/>
          <w:lang w:val="en-US"/>
        </w:rPr>
      </w:pPr>
    </w:p>
    <w:p w:rsidR="38074835" w:rsidP="38074835" w:rsidRDefault="38074835" w14:paraId="45C0A9F0" w14:textId="350C1FB0">
      <w:pPr>
        <w:pStyle w:val="Normal"/>
        <w:ind w:left="0"/>
        <w:rPr>
          <w:noProof w:val="0"/>
          <w:lang w:val="en-US"/>
        </w:rPr>
      </w:pPr>
      <w:r w:rsidRPr="38074835" w:rsidR="38074835">
        <w:rPr>
          <w:noProof w:val="0"/>
          <w:lang w:val="en-US"/>
        </w:rPr>
        <w:t>法條內容</w:t>
      </w:r>
      <w:r w:rsidRPr="38074835" w:rsidR="38074835">
        <w:rPr>
          <w:noProof w:val="0"/>
          <w:lang w:val="en-US"/>
        </w:rPr>
        <w:t>：</w:t>
      </w:r>
    </w:p>
    <w:p w:rsidR="38074835" w:rsidP="38074835" w:rsidRDefault="38074835" w14:paraId="294128D1" w14:textId="1672EC48">
      <w:pPr>
        <w:pStyle w:val="Normal"/>
        <w:rPr/>
      </w:pPr>
      <w:hyperlink r:id="Rc60ed6c8045c4d6d">
        <w:r w:rsidRPr="38074835" w:rsidR="38074835">
          <w:rPr>
            <w:rStyle w:val="Hyperlink"/>
            <w:rFonts w:ascii="MingLiU" w:hAnsi="MingLiU" w:eastAsia="MingLiU" w:cs="MingLiU"/>
            <w:b w:val="0"/>
            <w:bCs w:val="0"/>
            <w:i w:val="0"/>
            <w:iCs w:val="0"/>
            <w:caps w:val="0"/>
            <w:smallCaps w:val="0"/>
            <w:strike w:val="0"/>
            <w:dstrike w:val="0"/>
            <w:noProof w:val="0"/>
            <w:color w:val="057B7B"/>
            <w:sz w:val="24"/>
            <w:szCs w:val="24"/>
            <w:u w:val="none"/>
            <w:lang w:val="en-US"/>
          </w:rPr>
          <w:t>第 7 條</w:t>
        </w:r>
      </w:hyperlink>
    </w:p>
    <w:p w:rsidR="38074835" w:rsidP="38074835" w:rsidRDefault="38074835" w14:paraId="48439FA2" w14:textId="04AC33B5">
      <w:pPr>
        <w:shd w:val="clear" w:color="auto" w:fill="F9FBFB"/>
        <w:spacing w:before="0" w:beforeAutospacing="off" w:after="90" w:afterAutospacing="off"/>
        <w:rPr/>
      </w:pPr>
      <w:r w:rsidRPr="38074835" w:rsidR="38074835">
        <w:rPr>
          <w:rFonts w:ascii="MingLiU" w:hAnsi="MingLiU" w:eastAsia="MingLiU" w:cs="MingLiU"/>
          <w:b w:val="0"/>
          <w:bCs w:val="0"/>
          <w:i w:val="0"/>
          <w:iCs w:val="0"/>
          <w:caps w:val="0"/>
          <w:smallCaps w:val="0"/>
          <w:noProof w:val="0"/>
          <w:color w:val="000000" w:themeColor="text1" w:themeTint="FF" w:themeShade="FF"/>
          <w:sz w:val="24"/>
          <w:szCs w:val="24"/>
          <w:lang w:val="en-US"/>
        </w:rPr>
        <w:t>本條例第七條第一項第一款所定之證券交易所得，其交易成本之估價，應與其依所得稅法第四十四條、第四十八條及同法施行細則第四十六條規定擇採之計算方法一致。</w:t>
      </w:r>
    </w:p>
    <w:p w:rsidR="38074835" w:rsidP="38074835" w:rsidRDefault="38074835" w14:paraId="3EA0928F" w14:textId="21D19550">
      <w:pPr>
        <w:pStyle w:val="Normal"/>
        <w:ind w:left="0"/>
        <w:rPr>
          <w:noProof w:val="0"/>
          <w:lang w:val="en-US"/>
        </w:rPr>
      </w:pPr>
    </w:p>
    <w:p w:rsidR="38074835" w:rsidP="38074835" w:rsidRDefault="38074835" w14:paraId="2DE18E5F" w14:textId="6F901A1F">
      <w:pPr>
        <w:pStyle w:val="ListParagraph"/>
        <w:numPr>
          <w:ilvl w:val="0"/>
          <w:numId w:val="3"/>
        </w:numPr>
        <w:rPr/>
      </w:pPr>
    </w:p>
    <w:p w:rsidR="38074835" w:rsidP="38074835" w:rsidRDefault="38074835" w14:paraId="722208D6" w14:textId="4BCA3C5E">
      <w:pPr>
        <w:pStyle w:val="Normal"/>
        <w:ind w:left="0"/>
        <w:rPr/>
      </w:pPr>
      <w:r w:rsidRPr="38074835" w:rsidR="38074835">
        <w:rPr>
          <w:noProof w:val="0"/>
          <w:lang w:val="en-US"/>
        </w:rPr>
        <w:t>所得基本稅額條例施行細則第8條。</w:t>
      </w:r>
    </w:p>
    <w:p w:rsidR="38074835" w:rsidP="38074835" w:rsidRDefault="38074835" w14:paraId="580DA2DB" w14:textId="2BD3A6E0">
      <w:pPr>
        <w:pStyle w:val="Normal"/>
        <w:ind w:left="0"/>
        <w:rPr>
          <w:noProof w:val="0"/>
          <w:lang w:val="en-US"/>
        </w:rPr>
      </w:pPr>
    </w:p>
    <w:p w:rsidR="38074835" w:rsidP="38074835" w:rsidRDefault="38074835" w14:paraId="66177F61" w14:textId="3250CCE7">
      <w:pPr>
        <w:pStyle w:val="Normal"/>
        <w:ind w:left="0"/>
        <w:rPr>
          <w:noProof w:val="0"/>
          <w:lang w:val="en-US"/>
        </w:rPr>
      </w:pPr>
      <w:r w:rsidRPr="38074835" w:rsidR="38074835">
        <w:rPr>
          <w:noProof w:val="0"/>
          <w:lang w:val="en-US"/>
        </w:rPr>
        <w:t>法條內容</w:t>
      </w:r>
      <w:r w:rsidRPr="38074835" w:rsidR="38074835">
        <w:rPr>
          <w:noProof w:val="0"/>
          <w:lang w:val="en-US"/>
        </w:rPr>
        <w:t>：</w:t>
      </w:r>
    </w:p>
    <w:p w:rsidR="38074835" w:rsidP="38074835" w:rsidRDefault="38074835" w14:paraId="671875A6" w14:textId="1B62515E">
      <w:pPr>
        <w:pStyle w:val="Normal"/>
        <w:rPr/>
      </w:pPr>
      <w:hyperlink r:id="Rb1b0910f73b2402a">
        <w:r w:rsidRPr="38074835" w:rsidR="38074835">
          <w:rPr>
            <w:rStyle w:val="Hyperlink"/>
            <w:noProof w:val="0"/>
            <w:lang w:val="en-US"/>
          </w:rPr>
          <w:t>第 7 條</w:t>
        </w:r>
      </w:hyperlink>
    </w:p>
    <w:p w:rsidR="38074835" w:rsidP="38074835" w:rsidRDefault="38074835" w14:paraId="5F6727F6" w14:textId="592A4604">
      <w:pPr>
        <w:pStyle w:val="Normal"/>
        <w:rPr>
          <w:noProof w:val="0"/>
          <w:lang w:val="en-US"/>
        </w:rPr>
      </w:pPr>
      <w:r w:rsidRPr="38074835" w:rsidR="38074835">
        <w:rPr>
          <w:noProof w:val="0"/>
          <w:lang w:val="en-US"/>
        </w:rPr>
        <w:t>本條例第七條第一項第一款所定之證券交易所得，其交易成本之估價，應與其依所得稅法第四十四條、第四十八條及同法施行細則第四十六條規定擇採之計算方法一致。</w:t>
      </w:r>
    </w:p>
    <w:p w:rsidR="38074835" w:rsidP="38074835" w:rsidRDefault="38074835" w14:paraId="2FDB790F" w14:textId="773BE5AF">
      <w:pPr>
        <w:pStyle w:val="Normal"/>
        <w:rPr/>
      </w:pPr>
      <w:hyperlink r:id="Rf03d99aadfc748b2">
        <w:r w:rsidRPr="38074835" w:rsidR="38074835">
          <w:rPr>
            <w:rStyle w:val="Hyperlink"/>
            <w:noProof w:val="0"/>
            <w:lang w:val="en-US"/>
          </w:rPr>
          <w:t>第 8 條</w:t>
        </w:r>
      </w:hyperlink>
    </w:p>
    <w:p w:rsidR="38074835" w:rsidRDefault="38074835" w14:paraId="552763CC" w14:textId="31307C8D">
      <w:pPr>
        <w:rPr/>
      </w:pPr>
      <w:r w:rsidRPr="38074835" w:rsidR="38074835">
        <w:rPr>
          <w:noProof w:val="0"/>
          <w:lang w:val="en-US"/>
        </w:rPr>
        <w:t>本條例第七條第一項第一款所定之期貨交</w:t>
      </w:r>
      <w:r w:rsidRPr="38074835" w:rsidR="38074835">
        <w:rPr>
          <w:rFonts w:ascii="MingLiU" w:hAnsi="MingLiU" w:eastAsia="MingLiU" w:cs="MingLiU"/>
          <w:b w:val="0"/>
          <w:bCs w:val="0"/>
          <w:i w:val="0"/>
          <w:iCs w:val="0"/>
          <w:caps w:val="0"/>
          <w:smallCaps w:val="0"/>
          <w:noProof w:val="0"/>
          <w:color w:val="000000" w:themeColor="text1" w:themeTint="FF" w:themeShade="FF"/>
          <w:sz w:val="24"/>
          <w:szCs w:val="24"/>
          <w:lang w:val="en-US"/>
        </w:rPr>
        <w:t>易所得，其交易成本應採先進先出法計算之。但到期前指定平倉者，得採個別辨認法</w:t>
      </w:r>
      <w:r w:rsidRPr="38074835" w:rsidR="3807483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38074835" w:rsidP="38074835" w:rsidRDefault="38074835" w14:paraId="4DF5AD4D" w14:textId="5C440A08">
      <w:pPr>
        <w:pStyle w:val="Normal"/>
        <w:ind w:left="0"/>
        <w:rPr>
          <w:noProof w:val="0"/>
          <w:lang w:val="en-US"/>
        </w:rPr>
      </w:pPr>
    </w:p>
    <w:p w:rsidR="38074835" w:rsidP="38074835" w:rsidRDefault="38074835" w14:paraId="65BE90B5" w14:textId="3D96EAD4">
      <w:pPr>
        <w:pStyle w:val="Normal"/>
        <w:ind w:left="0"/>
        <w:rPr>
          <w:noProof w:val="0"/>
          <w:lang w:val="en-US"/>
        </w:rPr>
      </w:pPr>
    </w:p>
    <w:p w:rsidR="38074835" w:rsidP="38074835" w:rsidRDefault="38074835" w14:paraId="2027C5B9" w14:textId="36497272">
      <w:pPr>
        <w:pStyle w:val="Normal"/>
        <w:ind w:left="0"/>
        <w:rPr>
          <w:noProof w:val="0"/>
          <w:lang w:val="en-US"/>
        </w:rPr>
      </w:pPr>
    </w:p>
    <w:p w:rsidR="38074835" w:rsidP="38074835" w:rsidRDefault="38074835" w14:paraId="781C0DBB" w14:textId="14B94FC5">
      <w:pPr>
        <w:pStyle w:val="Normal"/>
        <w:ind w:left="0"/>
        <w:rPr>
          <w:noProof w:val="0"/>
          <w:lang w:val="en-US"/>
        </w:rPr>
      </w:pPr>
    </w:p>
    <w:p w:rsidR="38074835" w:rsidP="38074835" w:rsidRDefault="38074835" w14:paraId="7B1FEEC6" w14:textId="71D6EEF6">
      <w:pPr>
        <w:pStyle w:val="Normal"/>
        <w:jc w:val="left"/>
        <w:rPr>
          <w:sz w:val="24"/>
          <w:szCs w:val="24"/>
        </w:rPr>
      </w:pPr>
    </w:p>
    <w:p w:rsidR="38074835" w:rsidP="38074835" w:rsidRDefault="38074835" w14:paraId="3F603E14" w14:textId="24722521">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ZAGzodYiMJyC9+" int2:id="e13dQBa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42394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73bc1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a0252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7B5E96"/>
    <w:rsid w:val="38074835"/>
    <w:rsid w:val="7E7B5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5E96"/>
  <w15:chartTrackingRefBased/>
  <w15:docId w15:val="{7ED3805C-883B-40FC-A201-CC0A72B0AD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115&amp;flno=4" TargetMode="External" Id="R1b19f29b3b2f4932" /><Relationship Type="http://schemas.openxmlformats.org/officeDocument/2006/relationships/hyperlink" Target="https://law.moj.gov.tw/LawClass/LawSingle.aspx?pcode=G0340115&amp;flno=3" TargetMode="External" Id="R9813ee8a4de74bca" /><Relationship Type="http://schemas.openxmlformats.org/officeDocument/2006/relationships/hyperlink" Target="https://law.moj.gov.tw/LawClass/LawSingle.aspx?pcode=G0340115&amp;flno=7" TargetMode="External" Id="R933db6be579d4095" /><Relationship Type="http://schemas.openxmlformats.org/officeDocument/2006/relationships/hyperlink" Target="https://law.moj.gov.tw/LawClass/LawSingle.aspx?pcode=G0340116&amp;flno=5" TargetMode="External" Id="R11aeab4315e44f61" /><Relationship Type="http://schemas.openxmlformats.org/officeDocument/2006/relationships/hyperlink" Target="https://law.moj.gov.tw/LawClass/LawSingle.aspx?pcode=G0340116&amp;flno=7" TargetMode="External" Id="Rc60ed6c8045c4d6d" /><Relationship Type="http://schemas.openxmlformats.org/officeDocument/2006/relationships/hyperlink" Target="https://law.moj.gov.tw/LawClass/LawSingle.aspx?pcode=G0340116&amp;flno=7" TargetMode="External" Id="Rb1b0910f73b2402a" /><Relationship Type="http://schemas.openxmlformats.org/officeDocument/2006/relationships/hyperlink" Target="https://law.moj.gov.tw/LawClass/LawSingle.aspx?pcode=G0340116&amp;flno=8" TargetMode="External" Id="Rf03d99aadfc748b2" /><Relationship Type="http://schemas.microsoft.com/office/2020/10/relationships/intelligence" Target="intelligence2.xml" Id="R3bcca5aaf6b34d0b" /><Relationship Type="http://schemas.openxmlformats.org/officeDocument/2006/relationships/numbering" Target="numbering.xml" Id="R1a343461f1fa473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2024-04-10T02:59:15.0356357Z</dcterms:created>
  <dcterms:modified xsi:type="dcterms:W3CDTF">2024-04-10T08:28:45.2847619Z</dcterms:modified>
  <dc:creator>奕捷 黃</dc:creator>
  <lastModifiedBy>奕捷 黃</lastModifiedBy>
</coreProperties>
</file>