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8310779" wp14:paraId="2C078E63" wp14:textId="11BFEDBA">
      <w:pPr>
        <w:jc w:val="center"/>
        <w:rPr>
          <w:sz w:val="72"/>
          <w:szCs w:val="72"/>
        </w:rPr>
      </w:pPr>
      <w:r w:rsidRPr="18310779" w:rsidR="18310779">
        <w:rPr>
          <w:sz w:val="72"/>
          <w:szCs w:val="72"/>
        </w:rPr>
        <w:t>所得稅 -- 扣繳義務人之義務</w:t>
      </w:r>
    </w:p>
    <w:p w:rsidR="18310779" w:rsidP="18310779" w:rsidRDefault="18310779" w14:paraId="44645DDB" w14:textId="2B637BC5">
      <w:pPr>
        <w:pStyle w:val="Normal"/>
        <w:jc w:val="left"/>
        <w:rPr>
          <w:sz w:val="52"/>
          <w:szCs w:val="52"/>
        </w:rPr>
      </w:pPr>
      <w:r w:rsidRPr="18310779" w:rsidR="18310779">
        <w:rPr>
          <w:sz w:val="52"/>
          <w:szCs w:val="52"/>
        </w:rPr>
        <w:t>扣繳義務人之義務</w:t>
      </w:r>
    </w:p>
    <w:p w:rsidR="18310779" w:rsidP="18310779" w:rsidRDefault="18310779" w14:paraId="6A0A719F" w14:textId="2B0EC8EA">
      <w:pPr>
        <w:pStyle w:val="Normal"/>
        <w:jc w:val="left"/>
        <w:rPr>
          <w:sz w:val="48"/>
          <w:szCs w:val="48"/>
        </w:rPr>
      </w:pPr>
      <w:r w:rsidRPr="18310779" w:rsidR="18310779">
        <w:rPr>
          <w:sz w:val="48"/>
          <w:szCs w:val="48"/>
        </w:rPr>
        <w:t>法條</w:t>
      </w:r>
    </w:p>
    <w:p w:rsidR="18310779" w:rsidP="18310779" w:rsidRDefault="18310779" w14:paraId="61AD6611" w14:textId="76E99E19">
      <w:pPr>
        <w:pStyle w:val="Normal"/>
        <w:jc w:val="left"/>
        <w:rPr>
          <w:sz w:val="52"/>
          <w:szCs w:val="52"/>
        </w:rPr>
      </w:pPr>
      <w:r w:rsidRPr="18310779" w:rsidR="18310779">
        <w:rPr>
          <w:sz w:val="24"/>
          <w:szCs w:val="24"/>
        </w:rPr>
        <w:t>法條</w:t>
      </w:r>
      <w:r w:rsidRPr="18310779" w:rsidR="18310779">
        <w:rPr>
          <w:sz w:val="24"/>
          <w:szCs w:val="24"/>
        </w:rPr>
        <w:t>：</w:t>
      </w:r>
    </w:p>
    <w:p w:rsidR="18310779" w:rsidP="18310779" w:rsidRDefault="18310779" w14:paraId="636B587C" w14:textId="00AD5953">
      <w:pPr>
        <w:pStyle w:val="ListParagraph"/>
        <w:numPr>
          <w:ilvl w:val="0"/>
          <w:numId w:val="1"/>
        </w:numPr>
        <w:jc w:val="left"/>
        <w:rPr>
          <w:sz w:val="24"/>
          <w:szCs w:val="24"/>
        </w:rPr>
      </w:pPr>
    </w:p>
    <w:p w:rsidR="18310779" w:rsidP="18310779" w:rsidRDefault="18310779" w14:paraId="379D74FE" w14:textId="79A13167">
      <w:pPr>
        <w:pStyle w:val="Normal"/>
        <w:ind w:left="0"/>
        <w:jc w:val="left"/>
        <w:rPr>
          <w:sz w:val="24"/>
          <w:szCs w:val="24"/>
        </w:rPr>
      </w:pPr>
      <w:r w:rsidRPr="18310779" w:rsidR="18310779">
        <w:rPr>
          <w:sz w:val="24"/>
          <w:szCs w:val="24"/>
        </w:rPr>
        <w:t>所得稅法第92條。</w:t>
      </w:r>
    </w:p>
    <w:p w:rsidR="18310779" w:rsidP="18310779" w:rsidRDefault="18310779" w14:paraId="7B374F28" w14:textId="6F1811F1">
      <w:pPr>
        <w:pStyle w:val="Normal"/>
        <w:jc w:val="left"/>
        <w:rPr>
          <w:sz w:val="24"/>
          <w:szCs w:val="24"/>
        </w:rPr>
      </w:pPr>
      <w:r w:rsidRPr="18310779" w:rsidR="18310779">
        <w:rPr>
          <w:sz w:val="24"/>
          <w:szCs w:val="24"/>
        </w:rPr>
        <w:t>法條內容</w:t>
      </w:r>
      <w:r w:rsidRPr="18310779" w:rsidR="18310779">
        <w:rPr>
          <w:sz w:val="24"/>
          <w:szCs w:val="24"/>
        </w:rPr>
        <w:t>：</w:t>
      </w:r>
    </w:p>
    <w:p w:rsidR="18310779" w:rsidP="18310779" w:rsidRDefault="18310779" w14:paraId="7855E8B3" w14:textId="2CF13DA3">
      <w:pPr>
        <w:pStyle w:val="Normal"/>
        <w:rPr/>
      </w:pPr>
      <w:hyperlink r:id="Rb64a8367153b43f8">
        <w:r w:rsidRPr="18310779" w:rsidR="18310779">
          <w:rPr>
            <w:rStyle w:val="Hyperlink"/>
            <w:noProof w:val="0"/>
            <w:lang w:val="en-US"/>
          </w:rPr>
          <w:t>第 92 條</w:t>
        </w:r>
      </w:hyperlink>
    </w:p>
    <w:p w:rsidR="18310779" w:rsidP="18310779" w:rsidRDefault="18310779" w14:paraId="323444C8" w14:textId="1CA90F3B">
      <w:pPr>
        <w:pStyle w:val="Normal"/>
        <w:rPr>
          <w:noProof w:val="0"/>
          <w:lang w:val="en-US"/>
        </w:rPr>
      </w:pPr>
      <w:r w:rsidRPr="18310779" w:rsidR="18310779">
        <w:rPr>
          <w:noProof w:val="0"/>
          <w:lang w:val="en-US"/>
        </w:rPr>
        <w:t>第八十八條各類所得稅款之扣繳義務人，應於每月十日前將上一月內所扣稅款向國庫繳清，並於每年一月底前將上一年內扣繳各納稅義務人之稅款數額，開具扣繳憑單，彙報該管稽徵機關查核；並應於二月十日前將扣繳憑單填發納稅義務人。每年一月遇連續三日以上國定假日者，扣繳憑單彙報期間延長至二月五日止，扣繳憑單填發期間延長至二月十五日止。但營利事業有解散、廢止、合併或轉讓，或機關、團體裁撤、變更時，扣繳義務人應隨時就已扣繳稅款數額，填發扣繳憑單，並於十日內向該管稽徵機關辦理申報。</w:t>
      </w:r>
    </w:p>
    <w:p w:rsidR="18310779" w:rsidP="18310779" w:rsidRDefault="18310779" w14:paraId="6D0894E7" w14:textId="7AA9C1CC">
      <w:pPr>
        <w:pStyle w:val="Normal"/>
        <w:rPr>
          <w:noProof w:val="0"/>
          <w:lang w:val="en-US"/>
        </w:rPr>
      </w:pPr>
      <w:r w:rsidRPr="18310779" w:rsidR="18310779">
        <w:rPr>
          <w:noProof w:val="0"/>
          <w:lang w:val="en-US"/>
        </w:rPr>
        <w:t>非中華民國境內居住之個人，或在中華民國境內無固定營業場所之營利事業，有第八十八條規定各類所得時，扣繳義務人應於代扣稅款之日起十日內，將所扣稅款向國庫繳清，並開具扣繳憑單，向該管稽徵機關申報核驗後，發給納稅義務人。</w:t>
      </w:r>
    </w:p>
    <w:p w:rsidR="18310779" w:rsidP="18310779" w:rsidRDefault="18310779" w14:paraId="68A7A9E9" w14:textId="32E9752A">
      <w:pPr>
        <w:pStyle w:val="Normal"/>
        <w:rPr>
          <w:noProof w:val="0"/>
          <w:lang w:val="en-US"/>
        </w:rPr>
      </w:pPr>
      <w:r w:rsidRPr="18310779" w:rsidR="18310779">
        <w:rPr>
          <w:noProof w:val="0"/>
          <w:lang w:val="en-US"/>
        </w:rPr>
        <w:t>總機構在中華民國境外而在中華民國境內有固定營業場所之營利事業，其獲配之股利或盈餘，準用前項規定</w:t>
      </w:r>
      <w:r w:rsidRPr="18310779" w:rsidR="18310779">
        <w:rPr>
          <w:noProof w:val="0"/>
          <w:lang w:val="en-US"/>
        </w:rPr>
        <w:t>。</w:t>
      </w:r>
    </w:p>
    <w:p w:rsidR="18310779" w:rsidP="18310779" w:rsidRDefault="18310779" w14:paraId="36B770AE" w14:textId="4D7869CC">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38ca0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924F72"/>
    <w:rsid w:val="18310779"/>
    <w:rsid w:val="1892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4F72"/>
  <w15:chartTrackingRefBased/>
  <w15:docId w15:val="{B1B849BB-C996-4307-932E-8AFB972910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92" TargetMode="External" Id="Rb64a8367153b43f8" /><Relationship Type="http://schemas.openxmlformats.org/officeDocument/2006/relationships/numbering" Target="numbering.xml" Id="R3a9f627a5d6342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2024-04-06T12:27:57.3207032Z</dcterms:created>
  <dcterms:modified xsi:type="dcterms:W3CDTF">2024-04-07T05:36:32.1771247Z</dcterms:modified>
  <dc:creator>奕捷 黃</dc:creator>
  <lastModifiedBy>奕捷 黃</lastModifiedBy>
</coreProperties>
</file>