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1637BC" w:rsidP="161637BC" w:rsidRDefault="161637BC" w14:paraId="02FE6384" w14:textId="58A53BB4">
      <w:pPr>
        <w:spacing w:after="160" w:line="279" w:lineRule="auto"/>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161637BC" w:rsidR="161637BC">
        <w:rPr>
          <w:rFonts w:ascii="Aptos" w:hAnsi="Aptos" w:eastAsia="Aptos" w:cs="Aptos"/>
          <w:b w:val="0"/>
          <w:bCs w:val="0"/>
          <w:i w:val="0"/>
          <w:iCs w:val="0"/>
          <w:caps w:val="0"/>
          <w:smallCaps w:val="0"/>
          <w:noProof w:val="0"/>
          <w:color w:val="000000" w:themeColor="text1" w:themeTint="FF" w:themeShade="FF"/>
          <w:sz w:val="72"/>
          <w:szCs w:val="72"/>
          <w:lang w:val="en-US"/>
        </w:rPr>
        <w:t>所得稅 --核定</w:t>
      </w:r>
    </w:p>
    <w:p w:rsidR="161637BC" w:rsidP="161637BC" w:rsidRDefault="161637BC" w14:paraId="55DC965A" w14:textId="619D7D0B">
      <w:pPr>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161637BC" w:rsidR="161637BC">
        <w:rPr>
          <w:rFonts w:ascii="Aptos" w:hAnsi="Aptos" w:eastAsia="Aptos" w:cs="Aptos"/>
          <w:b w:val="0"/>
          <w:bCs w:val="0"/>
          <w:i w:val="0"/>
          <w:iCs w:val="0"/>
          <w:caps w:val="0"/>
          <w:smallCaps w:val="0"/>
          <w:noProof w:val="0"/>
          <w:color w:val="000000" w:themeColor="text1" w:themeTint="FF" w:themeShade="FF"/>
          <w:sz w:val="52"/>
          <w:szCs w:val="52"/>
          <w:lang w:val="en-US"/>
        </w:rPr>
        <w:t>所得稅之</w:t>
      </w:r>
      <w:r w:rsidRPr="161637BC" w:rsidR="161637BC">
        <w:rPr>
          <w:rFonts w:ascii="Aptos" w:hAnsi="Aptos" w:eastAsia="Aptos" w:cs="Aptos"/>
          <w:b w:val="0"/>
          <w:bCs w:val="0"/>
          <w:i w:val="0"/>
          <w:iCs w:val="0"/>
          <w:caps w:val="0"/>
          <w:smallCaps w:val="0"/>
          <w:noProof w:val="0"/>
          <w:color w:val="000000" w:themeColor="text1" w:themeTint="FF" w:themeShade="FF"/>
          <w:sz w:val="52"/>
          <w:szCs w:val="52"/>
          <w:lang w:val="en-US"/>
        </w:rPr>
        <w:t>核定</w:t>
      </w:r>
    </w:p>
    <w:p w:rsidR="161637BC" w:rsidP="161637BC" w:rsidRDefault="161637BC" w14:paraId="43A6CE73" w14:textId="3AB6EF9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在稽徵機關進行調查時，納稅義務人應提示有關各種證明所得額之帳冊簿據和文據，但符合下列任一情事，稽徵機關得進行逕行核定</w:t>
      </w: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w:t>
      </w: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也就是，以查到的資料或同業利潤標準，核定其所得額和應納稅額</w:t>
      </w: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)。若其營利事業屬於獨資或合夥組織之營利事業，稽徵機關應在核定其所得額後，將其營利事業所得額直接歸併至獨資資本或合夥組織合夥人之營利所得，並依本法規定課徵綜合所得稅</w:t>
      </w: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。(於2018/01/18修正通過。</w:t>
      </w:r>
      <w:r w:rsidRPr="161637BC" w:rsidR="161637BC">
        <w:rPr>
          <w:rFonts w:ascii="Aptos" w:hAnsi="Aptos" w:eastAsia="Aptos" w:cs="Aptos"/>
          <w:b w:val="0"/>
          <w:bCs w:val="0"/>
          <w:i w:val="0"/>
          <w:iCs w:val="0"/>
          <w:caps w:val="0"/>
          <w:smallCaps w:val="0"/>
          <w:noProof w:val="0"/>
          <w:color w:val="000000" w:themeColor="text1" w:themeTint="FF" w:themeShade="FF"/>
          <w:sz w:val="24"/>
          <w:szCs w:val="24"/>
          <w:lang w:val="en-US"/>
        </w:rPr>
        <w:t>)</w:t>
      </w:r>
    </w:p>
    <w:p w:rsidR="161637BC" w:rsidP="161637BC" w:rsidRDefault="161637BC" w14:paraId="36295B4B" w14:textId="6572BC7F">
      <w:pPr>
        <w:pStyle w:val="Normal"/>
        <w:rPr/>
      </w:pPr>
      <w:r w:rsidR="161637BC">
        <w:rPr/>
        <w:t>以下情況將會被視同未提示：</w:t>
      </w:r>
    </w:p>
    <w:p w:rsidR="161637BC" w:rsidP="161637BC" w:rsidRDefault="161637BC" w14:paraId="6D90B00A" w14:textId="77DCBFF4">
      <w:pPr>
        <w:pStyle w:val="ListParagraph"/>
        <w:numPr>
          <w:ilvl w:val="0"/>
          <w:numId w:val="1"/>
        </w:numPr>
        <w:rPr/>
      </w:pPr>
      <w:r w:rsidR="161637BC">
        <w:rPr/>
        <w:t>未依規定設置帳簿並記載，且在通知後未在通知期限內未補正到完整程度。所謂的完整程度，係指符合本條規定的程度</w:t>
      </w:r>
      <w:r w:rsidR="161637BC">
        <w:rPr/>
        <w:t>。</w:t>
      </w:r>
    </w:p>
    <w:p w:rsidR="161637BC" w:rsidP="161637BC" w:rsidRDefault="161637BC" w14:paraId="5BEBCED7" w14:textId="4BA4D0BC">
      <w:pPr>
        <w:pStyle w:val="ListParagraph"/>
        <w:numPr>
          <w:ilvl w:val="0"/>
          <w:numId w:val="1"/>
        </w:numPr>
        <w:rPr/>
      </w:pPr>
      <w:r w:rsidR="161637BC">
        <w:rPr/>
        <w:t>帳冊簿據或文據並因可歸究於非不可抗力之事由或因公開調閱，致使滅失，且無法重新設定帳以記載</w:t>
      </w:r>
      <w:r w:rsidR="161637BC">
        <w:rPr/>
        <w:t>。</w:t>
      </w:r>
    </w:p>
    <w:p w:rsidR="161637BC" w:rsidP="161637BC" w:rsidRDefault="161637BC" w14:paraId="6596F499" w14:textId="6B6FCFF1">
      <w:pPr>
        <w:pStyle w:val="ListParagraph"/>
        <w:numPr>
          <w:ilvl w:val="0"/>
          <w:numId w:val="1"/>
        </w:numPr>
        <w:rPr/>
      </w:pPr>
      <w:r w:rsidR="161637BC">
        <w:rPr/>
        <w:t>營建工程在同一年度承包兩個</w:t>
      </w:r>
      <w:r w:rsidR="161637BC">
        <w:rPr/>
        <w:t>(含)</w:t>
      </w:r>
      <w:r w:rsidR="161637BC">
        <w:rPr/>
        <w:t>以上之長期工程且成本沒有分開計算</w:t>
      </w:r>
      <w:r w:rsidR="161637BC">
        <w:rPr/>
        <w:t>。</w:t>
      </w:r>
    </w:p>
    <w:p w:rsidR="161637BC" w:rsidP="161637BC" w:rsidRDefault="161637BC" w14:paraId="5FB20F9C" w14:textId="0631A126">
      <w:pPr>
        <w:pStyle w:val="ListParagraph"/>
        <w:numPr>
          <w:ilvl w:val="0"/>
          <w:numId w:val="3"/>
        </w:numPr>
        <w:rPr/>
      </w:pPr>
      <w:r w:rsidR="161637BC">
        <w:rPr/>
        <w:t>納稅義務人未應稽徵機關的要求完整地提示帳冊簿據或文據</w:t>
      </w:r>
      <w:r w:rsidR="161637BC">
        <w:rPr/>
        <w:t>。(根據所得稅法第83條)</w:t>
      </w:r>
    </w:p>
    <w:p w:rsidR="161637BC" w:rsidP="161637BC" w:rsidRDefault="161637BC" w14:paraId="763329E5" w14:textId="49839C39">
      <w:pPr>
        <w:pStyle w:val="ListParagraph"/>
        <w:numPr>
          <w:ilvl w:val="0"/>
          <w:numId w:val="3"/>
        </w:numPr>
        <w:rPr/>
      </w:pPr>
    </w:p>
    <w:p w:rsidR="161637BC" w:rsidP="161637BC" w:rsidRDefault="161637BC" w14:paraId="2EC3ECBA" w14:textId="0961181B">
      <w:pPr>
        <w:pStyle w:val="ListParagraph"/>
        <w:numPr>
          <w:ilvl w:val="0"/>
          <w:numId w:val="3"/>
        </w:numPr>
        <w:rPr/>
      </w:pPr>
      <w:r w:rsidR="161637BC">
        <w:rPr/>
        <w:t>納稅義務人未在期限內結算申報且未於滯報通知書開始送達日期起15內完成補報結算申請。</w:t>
      </w:r>
    </w:p>
    <w:p w:rsidR="161637BC" w:rsidP="161637BC" w:rsidRDefault="161637BC" w14:paraId="63C9CEE2" w14:textId="1646CF5C">
      <w:pPr>
        <w:pStyle w:val="Normal"/>
        <w:ind w:left="0" w:firstLin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d839b5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5830e2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7cb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565B4"/>
    <w:rsid w:val="161637BC"/>
    <w:rsid w:val="4C45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5B4"/>
  <w15:chartTrackingRefBased/>
  <w15:docId w15:val="{67D72D37-06C0-4E71-B2C2-376FA184B1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8334c0b3b541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2024-04-07T23:10:41.3877428Z</dcterms:created>
  <dcterms:modified xsi:type="dcterms:W3CDTF">2024-04-08T00:38:31.1958637Z</dcterms:modified>
  <dc:creator>奕捷 黃</dc:creator>
  <lastModifiedBy>奕捷 黃</lastModifiedBy>
</coreProperties>
</file>