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80A948" wp14:paraId="533EB3AC" wp14:textId="494A9C09">
      <w:pPr>
        <w:pStyle w:val="Normal"/>
        <w:spacing w:after="160" w:line="279" w:lineRule="auto"/>
        <w:jc w:val="center"/>
        <w:rPr>
          <w:rFonts w:ascii="Aptos" w:hAnsi="Aptos" w:eastAsia="Aptos" w:cs="Aptos"/>
          <w:noProof w:val="0"/>
          <w:sz w:val="72"/>
          <w:szCs w:val="72"/>
          <w:lang w:val="en-US"/>
        </w:rPr>
      </w:pPr>
      <w:r w:rsidRPr="0A80A948" w:rsidR="0A80A948">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t>所得稅--</w:t>
      </w:r>
      <w:r w:rsidRPr="0A80A948" w:rsidR="0A80A948">
        <w:rPr>
          <w:rFonts w:ascii="Aptos" w:hAnsi="Aptos" w:eastAsia="Aptos" w:cs="Aptos"/>
          <w:b w:val="0"/>
          <w:bCs w:val="0"/>
          <w:i w:val="0"/>
          <w:iCs w:val="0"/>
          <w:caps w:val="0"/>
          <w:smallCaps w:val="0"/>
          <w:noProof w:val="0"/>
          <w:color w:val="000000" w:themeColor="text1" w:themeTint="FF" w:themeShade="FF"/>
          <w:sz w:val="72"/>
          <w:szCs w:val="72"/>
          <w:lang w:val="en-US"/>
        </w:rPr>
        <w:t xml:space="preserve"> 扣繳憑單</w:t>
      </w:r>
    </w:p>
    <w:p xmlns:wp14="http://schemas.microsoft.com/office/word/2010/wordml" w:rsidP="0A80A948" wp14:paraId="1B10E96B" wp14:textId="4567D321">
      <w:pPr>
        <w:spacing w:after="160" w:line="279" w:lineRule="auto"/>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0A80A948" w:rsidR="0A80A948">
        <w:rPr>
          <w:rFonts w:ascii="Aptos" w:hAnsi="Aptos" w:eastAsia="Aptos" w:cs="Aptos"/>
          <w:b w:val="0"/>
          <w:bCs w:val="0"/>
          <w:i w:val="0"/>
          <w:iCs w:val="0"/>
          <w:caps w:val="0"/>
          <w:smallCaps w:val="0"/>
          <w:noProof w:val="0"/>
          <w:color w:val="000000" w:themeColor="text1" w:themeTint="FF" w:themeShade="FF"/>
          <w:sz w:val="48"/>
          <w:szCs w:val="48"/>
          <w:lang w:val="en-US"/>
        </w:rPr>
        <w:t>扣繳憑單免填</w:t>
      </w:r>
    </w:p>
    <w:p xmlns:wp14="http://schemas.microsoft.com/office/word/2010/wordml" w:rsidP="0A80A948" wp14:paraId="160A4044" wp14:textId="03237F59">
      <w:pPr>
        <w:spacing w:after="160" w:line="279" w:lineRule="auto"/>
        <w:rPr>
          <w:rFonts w:ascii="Aptos" w:hAnsi="Aptos" w:eastAsia="Aptos" w:cs="Aptos"/>
          <w:b w:val="0"/>
          <w:bCs w:val="0"/>
          <w:i w:val="0"/>
          <w:iCs w:val="0"/>
          <w:caps w:val="0"/>
          <w:smallCaps w:val="0"/>
          <w:noProof w:val="0"/>
          <w:color w:val="000000" w:themeColor="text1" w:themeTint="FF" w:themeShade="FF"/>
          <w:sz w:val="40"/>
          <w:szCs w:val="40"/>
          <w:lang w:val="en-US"/>
        </w:rPr>
      </w:pPr>
      <w:r w:rsidRPr="0A80A948" w:rsidR="0A80A948">
        <w:rPr>
          <w:rFonts w:ascii="Aptos" w:hAnsi="Aptos" w:eastAsia="Aptos" w:cs="Aptos"/>
          <w:b w:val="0"/>
          <w:bCs w:val="0"/>
          <w:i w:val="0"/>
          <w:iCs w:val="0"/>
          <w:caps w:val="0"/>
          <w:smallCaps w:val="0"/>
          <w:noProof w:val="0"/>
          <w:color w:val="000000" w:themeColor="text1" w:themeTint="FF" w:themeShade="FF"/>
          <w:sz w:val="40"/>
          <w:szCs w:val="40"/>
          <w:lang w:val="en-US"/>
        </w:rPr>
        <w:t>法條</w:t>
      </w:r>
    </w:p>
    <w:p xmlns:wp14="http://schemas.microsoft.com/office/word/2010/wordml" w:rsidP="0A80A948" wp14:paraId="1AD28DBA" wp14:textId="6D355C0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法條：</w:t>
      </w:r>
    </w:p>
    <w:p xmlns:wp14="http://schemas.microsoft.com/office/word/2010/wordml" w:rsidP="0A80A948" wp14:paraId="10677B3A" wp14:textId="3F039364">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6A7F731B" wp14:textId="2648FFEB">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所得稅法第89條第三項。</w:t>
      </w:r>
    </w:p>
    <w:p xmlns:wp14="http://schemas.microsoft.com/office/word/2010/wordml" w:rsidP="0A80A948" wp14:paraId="6265A689" wp14:textId="43856CA8">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7AEAA63C" wp14:textId="02EC33A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0A80A948" wp14:paraId="2C073741" wp14:textId="4310A23F">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4ea593bc1f6a410e">
        <w:r w:rsidRPr="0A80A948" w:rsidR="0A80A948">
          <w:rPr>
            <w:rStyle w:val="Hyperlink"/>
            <w:rFonts w:ascii="Aptos" w:hAnsi="Aptos" w:eastAsia="Aptos" w:cs="Aptos"/>
            <w:b w:val="0"/>
            <w:bCs w:val="0"/>
            <w:i w:val="0"/>
            <w:iCs w:val="0"/>
            <w:caps w:val="0"/>
            <w:smallCaps w:val="0"/>
            <w:strike w:val="0"/>
            <w:dstrike w:val="0"/>
            <w:noProof w:val="0"/>
            <w:sz w:val="24"/>
            <w:szCs w:val="24"/>
            <w:lang w:val="en-US"/>
          </w:rPr>
          <w:t>第 89 條</w:t>
        </w:r>
      </w:hyperlink>
    </w:p>
    <w:p xmlns:wp14="http://schemas.microsoft.com/office/word/2010/wordml" w:rsidP="0A80A948" wp14:paraId="7C74874A" wp14:textId="52B16824">
      <w:pPr>
        <w:spacing w:after="160" w:line="279" w:lineRule="auto"/>
        <w:rPr>
          <w:rFonts w:ascii="MingLiU" w:hAnsi="MingLiU" w:eastAsia="MingLiU" w:cs="MingLiU"/>
          <w:b w:val="0"/>
          <w:bCs w:val="0"/>
          <w:i w:val="0"/>
          <w:iCs w:val="0"/>
          <w:caps w:val="0"/>
          <w:smallCaps w:val="0"/>
          <w:noProof w:val="0"/>
          <w:color w:val="000000" w:themeColor="text1" w:themeTint="FF" w:themeShade="FF"/>
          <w:sz w:val="24"/>
          <w:szCs w:val="24"/>
          <w:lang w:val="en-US"/>
        </w:rPr>
      </w:pPr>
      <w:r w:rsidRPr="0A80A948" w:rsidR="0A80A948">
        <w:rPr>
          <w:rFonts w:ascii="MingLiU" w:hAnsi="MingLiU" w:eastAsia="MingLiU" w:cs="MingLiU"/>
          <w:b w:val="0"/>
          <w:bCs w:val="0"/>
          <w:i w:val="0"/>
          <w:iCs w:val="0"/>
          <w:caps w:val="0"/>
          <w:smallCaps w:val="0"/>
          <w:noProof w:val="0"/>
          <w:color w:val="000000" w:themeColor="text1" w:themeTint="FF" w:themeShade="FF"/>
          <w:sz w:val="24"/>
          <w:szCs w:val="24"/>
          <w:lang w:val="en-US"/>
        </w:rPr>
        <w:t>機關、團體、學校、事業、破產財團或執行業務者每年所給付依前條規定應扣繳稅款之所得，及第十四條第一項第十類之其他所得，因未達起扣點，或因不屬本法規定之扣繳範圍，而未經扣繳稅款者，應於每年一月底前，將受領人姓名、住址、國民身分證統一編號及全年給付金額等，依規定格式，列單申報主管稽徵機關；並應於二月十日前，將免扣繳憑單填發納稅義務人。每年一月遇連續三日以上國定假日者，免扣繳憑單申報期間延長至二月五日止，免扣繳憑單填發期間延長至二月十五日止。</w:t>
      </w:r>
    </w:p>
    <w:p xmlns:wp14="http://schemas.microsoft.com/office/word/2010/wordml" w:rsidP="0A80A948" wp14:paraId="415631F4" wp14:textId="7294BCD6">
      <w:pPr>
        <w:spacing w:after="160" w:line="279" w:lineRule="auto"/>
        <w:rPr>
          <w:rFonts w:ascii="MingLiU" w:hAnsi="MingLiU" w:eastAsia="MingLiU" w:cs="MingLiU"/>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4E7F1801" wp14:textId="406E85DC">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679E7264" wp14:textId="70E7187E">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所得稅法第92條。</w:t>
      </w:r>
    </w:p>
    <w:p xmlns:wp14="http://schemas.microsoft.com/office/word/2010/wordml" w:rsidP="0A80A948" wp14:paraId="2C04E8F0" wp14:textId="2449C5A5">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0B8FF6C7" wp14:textId="2A647237">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0A80A948" wp14:paraId="78FCF338" wp14:textId="5AD01675">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第92條</w:t>
      </w:r>
    </w:p>
    <w:p xmlns:wp14="http://schemas.microsoft.com/office/word/2010/wordml" w:rsidP="0A80A948" wp14:paraId="40E1CBA6" wp14:textId="67A2051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第八十八條各類所得稅款之扣繳義務人，應於每月十日前將上一月內所扣稅款向國庫繳清，並於每年一月底前將上一年內扣繳各納稅義務人之稅款數額，開具扣繳憑單，彙報該管稽徵機關查核；並應於二月十日前將扣繳憑單填發納稅義務人。每年一月遇連續三日以上國定假日者，扣繳憑單彙報期間延長至二月五日止，扣繳憑單填發期間延長至二月十五日止。但營利事業有解散、廢止、合併或轉讓，或機關、團體裁撤、變更時，扣繳義務人應隨時就已扣繳稅款數額，填發扣繳憑單，並於十日內向該管稽徵機關辦理申報。</w:t>
      </w:r>
    </w:p>
    <w:p xmlns:wp14="http://schemas.microsoft.com/office/word/2010/wordml" w:rsidP="0A80A948" wp14:paraId="3A71039F" wp14:textId="00FD5E1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非中華民國境內居住之個人，或在中華民國境內無固定營業場所之營利事業，有第八十八條規定各類所得時，扣繳義務人應於代扣稅款之日起十日內，將所扣稅款向國庫繳清，並開具扣繳憑單，向該管稽徵機關申報核驗後，發給納稅義務人。</w:t>
      </w:r>
    </w:p>
    <w:p xmlns:wp14="http://schemas.microsoft.com/office/word/2010/wordml" w:rsidP="0A80A948" wp14:paraId="2BD0BFA8" wp14:textId="486E7A9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總機構在中華民國境外而在中華民國境內有固定營業場所之營利事業，其獲配之股利或盈餘，準用前項規定。</w:t>
      </w:r>
    </w:p>
    <w:p xmlns:wp14="http://schemas.microsoft.com/office/word/2010/wordml" w:rsidP="0A80A948" wp14:paraId="6F56F384" wp14:textId="052559F8">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7090A1F3" wp14:textId="32CFA782">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1EC77C9F" wp14:textId="7A33F008">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所得稅法第92-1條。</w:t>
      </w:r>
    </w:p>
    <w:p xmlns:wp14="http://schemas.microsoft.com/office/word/2010/wordml" w:rsidP="0A80A948" wp14:paraId="04FB3A9C" wp14:textId="3DCC62FB">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1FEA52CF" wp14:textId="36EEF438">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0A80A948" wp14:paraId="7FD6C4A7" wp14:textId="326CE59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54f846e152724332">
        <w:r w:rsidRPr="0A80A948" w:rsidR="0A80A948">
          <w:rPr>
            <w:rStyle w:val="Hyperlink"/>
            <w:rFonts w:ascii="Aptos" w:hAnsi="Aptos" w:eastAsia="Aptos" w:cs="Aptos"/>
            <w:b w:val="0"/>
            <w:bCs w:val="0"/>
            <w:i w:val="0"/>
            <w:iCs w:val="0"/>
            <w:caps w:val="0"/>
            <w:smallCaps w:val="0"/>
            <w:strike w:val="0"/>
            <w:dstrike w:val="0"/>
            <w:noProof w:val="0"/>
            <w:sz w:val="24"/>
            <w:szCs w:val="24"/>
            <w:lang w:val="en-US"/>
          </w:rPr>
          <w:t>第 92-1 條</w:t>
        </w:r>
      </w:hyperlink>
    </w:p>
    <w:p xmlns:wp14="http://schemas.microsoft.com/office/word/2010/wordml" w:rsidP="0A80A948" wp14:paraId="3CACCDB1" wp14:textId="5727172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信託行為之受託人應於每年一月底前，填具上一年度各信託之財產目錄、收支計算表及依第三條之四第一項、第二項、第五項、第六項應計算或分配予受益人之所得額、第八十九條之一規定之扣繳稅額資料等相關文件，依規定格式向該管稽徵機關列單申報；並應於二月十日前將扣繳憑單或免扣繳憑單及相關憑單填發納稅義務人。每年一月遇連續三日以上國定假日者，信託之財產目錄、收支計算表及相關文件申報期間延長至二月五日止，扣繳憑單或免扣繳憑單及相關憑單填發期間延長至二月十五日止。</w:t>
      </w:r>
    </w:p>
    <w:p xmlns:wp14="http://schemas.microsoft.com/office/word/2010/wordml" w:rsidP="0A80A948" wp14:paraId="7AD2C1F9" wp14:textId="2688771E">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156D438B" wp14:textId="487CD2D7">
      <w:pPr>
        <w:pStyle w:val="ListParagraph"/>
        <w:numPr>
          <w:ilvl w:val="0"/>
          <w:numId w:val="1"/>
        </w:num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583B1C36" wp14:textId="3C1F5D17">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所得稅法第94-1條。</w:t>
      </w:r>
    </w:p>
    <w:p xmlns:wp14="http://schemas.microsoft.com/office/word/2010/wordml" w:rsidP="0A80A948" wp14:paraId="33D0F061" wp14:textId="1237E625">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6D0154E5" wp14:textId="767B6C9D">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法條內容：</w:t>
      </w:r>
    </w:p>
    <w:p xmlns:wp14="http://schemas.microsoft.com/office/word/2010/wordml" w:rsidP="0A80A948" wp14:paraId="4F25B2A4" wp14:textId="095382F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hyperlink r:id="R225f28adc1b94f16">
        <w:r w:rsidRPr="0A80A948" w:rsidR="0A80A948">
          <w:rPr>
            <w:rStyle w:val="Hyperlink"/>
            <w:rFonts w:ascii="Aptos" w:hAnsi="Aptos" w:eastAsia="Aptos" w:cs="Aptos"/>
            <w:b w:val="0"/>
            <w:bCs w:val="0"/>
            <w:i w:val="0"/>
            <w:iCs w:val="0"/>
            <w:caps w:val="0"/>
            <w:smallCaps w:val="0"/>
            <w:strike w:val="0"/>
            <w:dstrike w:val="0"/>
            <w:noProof w:val="0"/>
            <w:sz w:val="24"/>
            <w:szCs w:val="24"/>
            <w:lang w:val="en-US"/>
          </w:rPr>
          <w:t>第 94-1 條</w:t>
        </w:r>
      </w:hyperlink>
    </w:p>
    <w:p xmlns:wp14="http://schemas.microsoft.com/office/word/2010/wordml" w:rsidP="0A80A948" wp14:paraId="3DA1009F" wp14:textId="69246D65">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依第八十九條第三項、第九十二條第一項本文及第九十二條之一規定應填發免扣繳憑單、扣繳憑單及相關憑單之機關、團體、學校、事業、破產財團、執行業務者、扣繳義務人及信託行為之受託人，已依規定期限將憑單申報該管稽徵機關，且憑單內容符合下列情形者，得免填發憑單予納稅義務人：</w:t>
      </w:r>
    </w:p>
    <w:p xmlns:wp14="http://schemas.microsoft.com/office/word/2010/wordml" w:rsidP="0A80A948" wp14:paraId="4B2642EF" wp14:textId="7EAA5D5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一、納稅義務人為在中華民國境內居住之個人、在中華民國境內有固定營業場所之營利事業、機關、團體、執行業務者或信託行為之受託人。</w:t>
      </w:r>
    </w:p>
    <w:p xmlns:wp14="http://schemas.microsoft.com/office/word/2010/wordml" w:rsidP="0A80A948" wp14:paraId="11AD813D" wp14:textId="4A3D064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二、扣繳或免扣繳資料經稽徵機關納入結算申報期間提供所得資料查詢服務。</w:t>
      </w:r>
    </w:p>
    <w:p xmlns:wp14="http://schemas.microsoft.com/office/word/2010/wordml" w:rsidP="0A80A948" wp14:paraId="64E01A95" wp14:textId="5D9622E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三、其他財政部規定之情形。</w:t>
      </w:r>
    </w:p>
    <w:p xmlns:wp14="http://schemas.microsoft.com/office/word/2010/wordml" w:rsidP="0A80A948" wp14:paraId="1897F506" wp14:textId="2A55101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依前項規定免填發憑單予納稅義務人者，如納稅義務人要求填發時，仍應填發。</w:t>
      </w:r>
    </w:p>
    <w:p xmlns:wp14="http://schemas.microsoft.com/office/word/2010/wordml" w:rsidP="0A80A948" wp14:paraId="6E6EC076" wp14:textId="4FD43A12">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0A80A948" wp14:paraId="0089E830" wp14:textId="5627E797">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備註：</w:t>
      </w:r>
    </w:p>
    <w:p xmlns:wp14="http://schemas.microsoft.com/office/word/2010/wordml" w:rsidP="0A80A948" wp14:paraId="322C1A16" wp14:textId="2D61A5F9">
      <w:pPr>
        <w:spacing w:after="160"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0A80A948" w:rsidR="0A80A948">
        <w:rPr>
          <w:rFonts w:ascii="Aptos" w:hAnsi="Aptos" w:eastAsia="Aptos" w:cs="Aptos"/>
          <w:b w:val="0"/>
          <w:bCs w:val="0"/>
          <w:i w:val="0"/>
          <w:iCs w:val="0"/>
          <w:caps w:val="0"/>
          <w:smallCaps w:val="0"/>
          <w:noProof w:val="0"/>
          <w:color w:val="000000" w:themeColor="text1" w:themeTint="FF" w:themeShade="FF"/>
          <w:sz w:val="24"/>
          <w:szCs w:val="24"/>
          <w:lang w:val="en-US"/>
        </w:rPr>
        <w:t>該法條於2014/01/08增訂並公布。</w:t>
      </w:r>
    </w:p>
    <w:p xmlns:wp14="http://schemas.microsoft.com/office/word/2010/wordml" w:rsidP="0A80A948" wp14:paraId="11B24A56" wp14:textId="67157C19">
      <w:pPr>
        <w:pStyle w:val="Normal"/>
        <w:spacing w:after="160" w:line="279" w:lineRule="auto"/>
        <w:jc w:val="center"/>
        <w:rPr>
          <w:rFonts w:ascii="Aptos" w:hAnsi="Aptos" w:eastAsia="Aptos" w:cs="Aptos"/>
          <w:b w:val="0"/>
          <w:bCs w:val="0"/>
          <w:i w:val="0"/>
          <w:iCs w:val="0"/>
          <w:caps w:val="0"/>
          <w:smallCaps w:val="0"/>
          <w:noProof w:val="0"/>
          <w:color w:val="000000" w:themeColor="text1" w:themeTint="FF" w:themeShade="FF"/>
          <w:sz w:val="72"/>
          <w:szCs w:val="72"/>
          <w:lang w:val="en-US"/>
        </w:rPr>
      </w:pPr>
    </w:p>
    <w:p xmlns:wp14="http://schemas.microsoft.com/office/word/2010/wordml" w:rsidP="0A80A948" wp14:paraId="2C078E63" wp14:textId="4A5C334C">
      <w:pPr>
        <w:pStyle w:val="Normal"/>
        <w:rPr>
          <w:rFonts w:ascii="Aptos" w:hAnsi="Aptos" w:eastAsia="Aptos" w:cs="Aptos"/>
          <w:b w:val="0"/>
          <w:bCs w:val="0"/>
          <w:i w:val="0"/>
          <w:iCs w:val="0"/>
          <w:caps w:val="0"/>
          <w:smallCaps w:val="0"/>
          <w:strike w:val="0"/>
          <w:dstrike w:val="0"/>
          <w:noProof w:val="0"/>
          <w:color w:val="000000" w:themeColor="text1" w:themeTint="FF" w:themeShade="FF"/>
          <w:sz w:val="72"/>
          <w:szCs w:val="7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aaa61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5d17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d996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e0a6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FC816"/>
    <w:rsid w:val="0A80A948"/>
    <w:rsid w:val="68EFC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C816"/>
  <w15:chartTrackingRefBased/>
  <w15:docId w15:val="{1DF45902-72C3-45A6-941C-547E6ACEA6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89" TargetMode="External" Id="R4ea593bc1f6a410e" /><Relationship Type="http://schemas.openxmlformats.org/officeDocument/2006/relationships/hyperlink" Target="https://law.moj.gov.tw/LawClass/LawSingle.aspx?pcode=G0340003&amp;flno=92-1" TargetMode="External" Id="R54f846e152724332" /><Relationship Type="http://schemas.openxmlformats.org/officeDocument/2006/relationships/hyperlink" Target="https://law.moj.gov.tw/LawClass/LawSingle.aspx?pcode=G0340003&amp;flno=94-1" TargetMode="External" Id="R225f28adc1b94f16" /><Relationship Type="http://schemas.openxmlformats.org/officeDocument/2006/relationships/numbering" Target="numbering.xml" Id="R461f7b40acc942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2024-04-07T05:38:05.2891498Z</dcterms:created>
  <dcterms:modified xsi:type="dcterms:W3CDTF">2024-04-07T07:37:22.2478014Z</dcterms:modified>
  <dc:creator>奕捷 黃</dc:creator>
  <lastModifiedBy>奕捷 黃</lastModifiedBy>
</coreProperties>
</file>