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E5445A0" w:rsidP="0E5445A0" w:rsidRDefault="0E5445A0" w14:paraId="3EB178D6" w14:textId="20336716">
      <w:pPr>
        <w:widowControl w:val="0"/>
        <w:jc w:val="center"/>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 xml:space="preserve">營利事業所得稅 </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 xml:space="preserve">-- </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完稅方式</w:t>
      </w:r>
    </w:p>
    <w:p w:rsidR="0E5445A0" w:rsidP="0E5445A0" w:rsidRDefault="0E5445A0" w14:paraId="78C402D1" w14:textId="15A5BFAC">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t>註記</w:t>
      </w:r>
    </w:p>
    <w:p w:rsidR="0E5445A0" w:rsidP="0E5445A0" w:rsidRDefault="0E5445A0" w14:paraId="38F0C55C" w14:textId="517324E8">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名詞解釋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6669BE5D" w14:textId="33E7A552">
      <w:pPr>
        <w:pStyle w:val="Normal"/>
        <w:widowControl w:val="0"/>
        <w:jc w:val="left"/>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為了方便，我簡稱或重新定義以下名詞。</w:t>
      </w:r>
    </w:p>
    <w:p w:rsidR="0E5445A0" w:rsidP="0E5445A0" w:rsidRDefault="0E5445A0" w14:paraId="48BCCBF7" w14:textId="48DCA95A">
      <w:pPr>
        <w:pStyle w:val="ListParagraph"/>
        <w:widowControl w:val="0"/>
        <w:numPr>
          <w:ilvl w:val="0"/>
          <w:numId w:val="8"/>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367A4953" w14:textId="1D48EDAE">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“中華民國境內”</w:t>
      </w:r>
    </w:p>
    <w:p w:rsidR="0E5445A0" w:rsidP="0E5445A0" w:rsidRDefault="0E5445A0" w14:paraId="46C5FB01" w14:textId="71D30DC8">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被重新定義為</w:t>
      </w:r>
    </w:p>
    <w:p w:rsidR="0E5445A0" w:rsidP="0E5445A0" w:rsidRDefault="0E5445A0" w14:paraId="10E8FB9C" w14:textId="769CAB0B">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“台灣地區”</w:t>
      </w:r>
    </w:p>
    <w:p w:rsidR="0E5445A0" w:rsidP="0E5445A0" w:rsidRDefault="0E5445A0" w14:paraId="547B6B74" w14:textId="7001AF46">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6A0BA0B2" w14:textId="57AEF5B3">
      <w:pPr>
        <w:pStyle w:val="ListParagraph"/>
        <w:widowControl w:val="0"/>
        <w:numPr>
          <w:ilvl w:val="0"/>
          <w:numId w:val="8"/>
        </w:numPr>
        <w:jc w:val="left"/>
        <w:rPr/>
      </w:pPr>
    </w:p>
    <w:p w:rsidR="0E5445A0" w:rsidP="0E5445A0" w:rsidRDefault="0E5445A0" w14:paraId="29C914FA" w14:textId="79265CA7">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"居住中華民國境內之人民、位於該地之法人、團體或其他機構"</w:t>
      </w:r>
    </w:p>
    <w:p w:rsidR="0E5445A0" w:rsidP="0E5445A0" w:rsidRDefault="0E5445A0" w14:paraId="2B8D16E1" w14:textId="7A172146">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被簡稱為</w:t>
      </w:r>
    </w:p>
    <w:p w:rsidR="0E5445A0" w:rsidP="0E5445A0" w:rsidRDefault="0E5445A0" w14:paraId="289332FF" w14:textId="22BAA0DF">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"台灣地區之人民、法人、團體或其他機構"</w:t>
      </w:r>
    </w:p>
    <w:p w:rsidR="0E5445A0" w:rsidP="0E5445A0" w:rsidRDefault="0E5445A0" w14:paraId="26AC6528" w14:textId="61E81A65">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7FBB935A" w14:textId="37336265">
      <w:pPr>
        <w:pStyle w:val="ListParagraph"/>
        <w:widowControl w:val="0"/>
        <w:numPr>
          <w:ilvl w:val="0"/>
          <w:numId w:val="8"/>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0C875DE6" w14:textId="249A38BF">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"台灣地區以外之地區"</w:t>
      </w:r>
    </w:p>
    <w:p w:rsidR="0E5445A0" w:rsidP="0E5445A0" w:rsidRDefault="0E5445A0" w14:paraId="2A571DB1" w14:textId="71D30DC8">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被重新定義為</w:t>
      </w:r>
    </w:p>
    <w:p w:rsidR="0E5445A0" w:rsidP="0E5445A0" w:rsidRDefault="0E5445A0" w14:paraId="651D8E7A" w14:textId="6D6530A8">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“第三地區”</w:t>
      </w:r>
    </w:p>
    <w:p w:rsidR="0E5445A0" w:rsidP="0E5445A0" w:rsidRDefault="0E5445A0" w14:paraId="0E994493" w14:textId="52678A7D">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218CC7A1" w14:textId="79C9738D">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相關條件：</w:t>
      </w:r>
    </w:p>
    <w:p w:rsidR="0E5445A0" w:rsidP="0E5445A0" w:rsidRDefault="0E5445A0" w14:paraId="64068D96" w14:textId="1ACDD6DF">
      <w:pPr>
        <w:pStyle w:val="ListParagraph"/>
        <w:widowControl w:val="0"/>
        <w:numPr>
          <w:ilvl w:val="0"/>
          <w:numId w:val="25"/>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26074054" w14:textId="04DE9A98">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“台灣地區之居留條件”為"在台灣地區居留累積滿183天"。</w:t>
      </w:r>
    </w:p>
    <w:p w:rsidR="0E5445A0" w:rsidP="0E5445A0" w:rsidRDefault="0E5445A0" w14:paraId="330300B8" w14:textId="09791EF4">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pPr>
    </w:p>
    <w:p w:rsidR="0E5445A0" w:rsidP="0E5445A0" w:rsidRDefault="0E5445A0" w14:paraId="793EE0B5" w14:textId="44A24EE1">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t>完稅方式</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t xml:space="preserve"> </w:t>
      </w:r>
    </w:p>
    <w:p w:rsidR="0E5445A0" w:rsidP="0E5445A0" w:rsidRDefault="0E5445A0" w14:paraId="48C254B0" w14:textId="476A3C6F">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52"/>
          <w:szCs w:val="52"/>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t>通則</w:t>
      </w:r>
    </w:p>
    <w:p w:rsidR="0E5445A0" w:rsidP="0E5445A0" w:rsidRDefault="0E5445A0" w14:paraId="3CE80D20" w14:textId="22D65921">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36"/>
          <w:szCs w:val="36"/>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36"/>
          <w:szCs w:val="36"/>
          <w:u w:val="none"/>
          <w:lang w:val="en-US"/>
        </w:rPr>
        <w:t>就源扣繳完稅</w:t>
      </w:r>
    </w:p>
    <w:p w:rsidR="0E5445A0" w:rsidP="0E5445A0" w:rsidRDefault="0E5445A0" w14:paraId="0FEDF15B" w14:textId="2660BBEA">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法條</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7EC86596" w14:textId="4E148DD7">
      <w:pPr>
        <w:pStyle w:val="ListParagraph"/>
        <w:widowControl w:val="0"/>
        <w:numPr>
          <w:ilvl w:val="0"/>
          <w:numId w:val="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72C9D548" w14:textId="3630DE11">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所得稅法第3-3條。</w:t>
      </w:r>
    </w:p>
    <w:p w:rsidR="0E5445A0" w:rsidP="0E5445A0" w:rsidRDefault="0E5445A0" w14:paraId="1A21EA5D" w14:textId="1617168F">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6E0567DC" w14:textId="58BF89D2">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法條內容</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0F285FE8" w14:textId="6ACFF1F6">
      <w:pPr>
        <w:pStyle w:val="Normal"/>
        <w:rPr/>
      </w:pPr>
      <w:hyperlink r:id="Rec7216d260924250">
        <w:r w:rsidRPr="0E5445A0" w:rsidR="0E5445A0">
          <w:rPr>
            <w:rStyle w:val="Hyperlink"/>
            <w:noProof w:val="0"/>
            <w:lang w:val="en-US"/>
          </w:rPr>
          <w:t>第 3-3 條</w:t>
        </w:r>
      </w:hyperlink>
    </w:p>
    <w:p w:rsidR="0E5445A0" w:rsidP="0E5445A0" w:rsidRDefault="0E5445A0" w14:paraId="486DB9E9" w14:textId="17A2E296">
      <w:pPr>
        <w:pStyle w:val="Normal"/>
        <w:rPr>
          <w:noProof w:val="0"/>
          <w:lang w:val="en-US"/>
        </w:rPr>
      </w:pPr>
      <w:r w:rsidRPr="0E5445A0" w:rsidR="0E5445A0">
        <w:rPr>
          <w:noProof w:val="0"/>
          <w:lang w:val="en-US"/>
        </w:rPr>
        <w:t>信託財產於左列各款信託關係人間，基於信託關係移轉或為其他處分者，不課徵所得稅</w:t>
      </w:r>
      <w:r w:rsidRPr="0E5445A0" w:rsidR="0E5445A0">
        <w:rPr>
          <w:noProof w:val="0"/>
          <w:lang w:val="en-US"/>
        </w:rPr>
        <w:t>：</w:t>
      </w:r>
    </w:p>
    <w:p w:rsidR="0E5445A0" w:rsidP="0E5445A0" w:rsidRDefault="0E5445A0" w14:paraId="3CE5D192" w14:textId="327270AD">
      <w:pPr>
        <w:pStyle w:val="Normal"/>
        <w:rPr>
          <w:noProof w:val="0"/>
          <w:lang w:val="en-US"/>
        </w:rPr>
      </w:pPr>
      <w:r w:rsidRPr="0E5445A0" w:rsidR="0E5445A0">
        <w:rPr>
          <w:noProof w:val="0"/>
          <w:lang w:val="en-US"/>
        </w:rPr>
        <w:t>一、因信託行為成立，委託人與受託人間</w:t>
      </w:r>
      <w:r w:rsidRPr="0E5445A0" w:rsidR="0E5445A0">
        <w:rPr>
          <w:noProof w:val="0"/>
          <w:lang w:val="en-US"/>
        </w:rPr>
        <w:t>。</w:t>
      </w:r>
    </w:p>
    <w:p w:rsidR="0E5445A0" w:rsidP="0E5445A0" w:rsidRDefault="0E5445A0" w14:paraId="1C7C7AC4" w14:textId="2B7477A5">
      <w:pPr>
        <w:pStyle w:val="Normal"/>
        <w:rPr>
          <w:noProof w:val="0"/>
          <w:lang w:val="en-US"/>
        </w:rPr>
      </w:pPr>
      <w:r w:rsidRPr="0E5445A0" w:rsidR="0E5445A0">
        <w:rPr>
          <w:noProof w:val="0"/>
          <w:lang w:val="en-US"/>
        </w:rPr>
        <w:t>二、信託關係存續中受託人變更時，原受託人與新受託人間</w:t>
      </w:r>
      <w:r w:rsidRPr="0E5445A0" w:rsidR="0E5445A0">
        <w:rPr>
          <w:noProof w:val="0"/>
          <w:lang w:val="en-US"/>
        </w:rPr>
        <w:t>。</w:t>
      </w:r>
    </w:p>
    <w:p w:rsidR="0E5445A0" w:rsidP="0E5445A0" w:rsidRDefault="0E5445A0" w14:paraId="22CDA055" w14:textId="2CE43BEC">
      <w:pPr>
        <w:pStyle w:val="Normal"/>
        <w:rPr>
          <w:noProof w:val="0"/>
          <w:lang w:val="en-US"/>
        </w:rPr>
      </w:pPr>
      <w:r w:rsidRPr="0E5445A0" w:rsidR="0E5445A0">
        <w:rPr>
          <w:noProof w:val="0"/>
          <w:lang w:val="en-US"/>
        </w:rPr>
        <w:t>三、信託關係存續中，受託人依信託本旨交付信託財產，受託人與受益人間</w:t>
      </w:r>
      <w:r w:rsidRPr="0E5445A0" w:rsidR="0E5445A0">
        <w:rPr>
          <w:noProof w:val="0"/>
          <w:lang w:val="en-US"/>
        </w:rPr>
        <w:t>。</w:t>
      </w:r>
    </w:p>
    <w:p w:rsidR="0E5445A0" w:rsidP="0E5445A0" w:rsidRDefault="0E5445A0" w14:paraId="48BB5E32" w14:textId="7BE367AF">
      <w:pPr>
        <w:pStyle w:val="Normal"/>
        <w:rPr>
          <w:noProof w:val="0"/>
          <w:lang w:val="en-US"/>
        </w:rPr>
      </w:pPr>
      <w:r w:rsidRPr="0E5445A0" w:rsidR="0E5445A0">
        <w:rPr>
          <w:noProof w:val="0"/>
          <w:lang w:val="en-US"/>
        </w:rPr>
        <w:t>四、因信託關係消滅，委託人與受託人間或受託人與受益人間</w:t>
      </w:r>
      <w:r w:rsidRPr="0E5445A0" w:rsidR="0E5445A0">
        <w:rPr>
          <w:noProof w:val="0"/>
          <w:lang w:val="en-US"/>
        </w:rPr>
        <w:t>。</w:t>
      </w:r>
    </w:p>
    <w:p w:rsidR="0E5445A0" w:rsidP="0E5445A0" w:rsidRDefault="0E5445A0" w14:paraId="475F05F9" w14:textId="0F1DDD91">
      <w:pPr>
        <w:pStyle w:val="Normal"/>
        <w:rPr>
          <w:noProof w:val="0"/>
          <w:lang w:val="en-US"/>
        </w:rPr>
      </w:pPr>
      <w:r w:rsidRPr="0E5445A0" w:rsidR="0E5445A0">
        <w:rPr>
          <w:noProof w:val="0"/>
          <w:lang w:val="en-US"/>
        </w:rPr>
        <w:t>五、因信託行為不成立、無效、解除或撤銷，委託人與受託人間</w:t>
      </w:r>
      <w:r w:rsidRPr="0E5445A0" w:rsidR="0E5445A0">
        <w:rPr>
          <w:noProof w:val="0"/>
          <w:lang w:val="en-US"/>
        </w:rPr>
        <w:t>。</w:t>
      </w:r>
    </w:p>
    <w:p w:rsidR="0E5445A0" w:rsidP="0E5445A0" w:rsidRDefault="0E5445A0" w14:paraId="34242F65" w14:textId="2A09890A">
      <w:pPr>
        <w:pStyle w:val="Normal"/>
        <w:rPr>
          <w:noProof w:val="0"/>
          <w:lang w:val="en-US"/>
        </w:rPr>
      </w:pPr>
      <w:r w:rsidRPr="0E5445A0" w:rsidR="0E5445A0">
        <w:rPr>
          <w:noProof w:val="0"/>
          <w:lang w:val="en-US"/>
        </w:rPr>
        <w:t>前項信託財產在移轉或處分前，因受託人管理或處分信託財產發生之所得，應依第三條之四規定課稅</w:t>
      </w:r>
      <w:r w:rsidRPr="0E5445A0" w:rsidR="0E5445A0">
        <w:rPr>
          <w:noProof w:val="0"/>
          <w:lang w:val="en-US"/>
        </w:rPr>
        <w:t>。</w:t>
      </w:r>
    </w:p>
    <w:p w:rsidR="0E5445A0" w:rsidP="0E5445A0" w:rsidRDefault="0E5445A0" w14:paraId="7318B617" w14:textId="6543EACA">
      <w:pPr>
        <w:pStyle w:val="Normal"/>
        <w:rPr>
          <w:noProof w:val="0"/>
          <w:lang w:val="en-US"/>
        </w:rPr>
      </w:pPr>
    </w:p>
    <w:p w:rsidR="0E5445A0" w:rsidP="0E5445A0" w:rsidRDefault="0E5445A0" w14:paraId="42434405" w14:textId="3FB2032A">
      <w:pPr>
        <w:pStyle w:val="ListParagraph"/>
        <w:numPr>
          <w:ilvl w:val="0"/>
          <w:numId w:val="1"/>
        </w:numPr>
        <w:rPr/>
      </w:pPr>
    </w:p>
    <w:p w:rsidR="0E5445A0" w:rsidP="0E5445A0" w:rsidRDefault="0E5445A0" w14:paraId="3E7778FC" w14:textId="49D41D11">
      <w:pPr>
        <w:pStyle w:val="Normal"/>
        <w:rPr/>
      </w:pPr>
      <w:r w:rsidR="0E5445A0">
        <w:rPr/>
        <w:t>所得稅法第73條。</w:t>
      </w:r>
    </w:p>
    <w:p w:rsidR="0E5445A0" w:rsidP="0E5445A0" w:rsidRDefault="0E5445A0" w14:paraId="03E29CF8" w14:textId="3422D5C9">
      <w:pPr>
        <w:pStyle w:val="Normal"/>
        <w:rPr/>
      </w:pPr>
    </w:p>
    <w:p w:rsidR="0E5445A0" w:rsidP="0E5445A0" w:rsidRDefault="0E5445A0" w14:paraId="6FFBFB77" w14:textId="7B68B765">
      <w:pPr>
        <w:pStyle w:val="Normal"/>
        <w:rPr/>
      </w:pPr>
      <w:r w:rsidR="0E5445A0">
        <w:rPr/>
        <w:t>法條內容</w:t>
      </w:r>
      <w:r w:rsidR="0E5445A0">
        <w:rPr/>
        <w:t>：</w:t>
      </w:r>
    </w:p>
    <w:p w:rsidR="0E5445A0" w:rsidP="0E5445A0" w:rsidRDefault="0E5445A0" w14:paraId="2195C0CA" w14:textId="3B90E8EA">
      <w:pPr>
        <w:pStyle w:val="Normal"/>
        <w:rPr/>
      </w:pPr>
      <w:hyperlink r:id="R1fe9898226314560">
        <w:r w:rsidRPr="0E5445A0" w:rsidR="0E5445A0">
          <w:rPr>
            <w:rStyle w:val="Hyperlink"/>
            <w:noProof w:val="0"/>
            <w:lang w:val="en-US"/>
          </w:rPr>
          <w:t>第 73 條</w:t>
        </w:r>
      </w:hyperlink>
    </w:p>
    <w:p w:rsidR="0E5445A0" w:rsidP="0E5445A0" w:rsidRDefault="0E5445A0" w14:paraId="34537F2C" w14:textId="020B033D">
      <w:pPr>
        <w:pStyle w:val="Normal"/>
        <w:rPr>
          <w:noProof w:val="0"/>
          <w:lang w:val="en-US"/>
        </w:rPr>
      </w:pPr>
      <w:r w:rsidRPr="0E5445A0" w:rsidR="0E5445A0">
        <w:rPr>
          <w:noProof w:val="0"/>
          <w:lang w:val="en-US"/>
        </w:rPr>
        <w:t>非中華民國境內居住之個人，及在中華民國境內無固定營業場所及營業代理人之營利事業，在中華民國境內有第八十八條規定之各項所得者，不適用第七十一條關於結算申報之規定，其應納所得稅應由扣繳義務人於給付時，依規定之扣繳率扣繳之；如有非屬第八十八條規定扣繳範圍之所得，並於該年度所得稅申報期限開始前離境者，應離境前向該管稽徵機關辦理申報，依規定稅率納稅；其於該年度所得稅申報期限內尚未離境者，應於申報期限內依有關規定申報納稅。</w:t>
      </w:r>
    </w:p>
    <w:p w:rsidR="0E5445A0" w:rsidP="0E5445A0" w:rsidRDefault="0E5445A0" w14:paraId="61496781" w14:textId="57200290">
      <w:pPr>
        <w:pStyle w:val="Normal"/>
        <w:rPr>
          <w:noProof w:val="0"/>
          <w:lang w:val="en-US"/>
        </w:rPr>
      </w:pPr>
      <w:r w:rsidRPr="0E5445A0" w:rsidR="0E5445A0">
        <w:rPr>
          <w:noProof w:val="0"/>
          <w:lang w:val="en-US"/>
        </w:rPr>
        <w:t>在中華民國境內無固定營業場所，而有營業代理人之營利事業，除依第二十五條及第二十六條規定計算所得額，並依規定扣繳所得稅款者外，其營利事業所得稅應由其營業代理人負責，依本法規定向該管稽徵機關申報納稅。</w:t>
      </w:r>
    </w:p>
    <w:p w:rsidR="0E5445A0" w:rsidP="0E5445A0" w:rsidRDefault="0E5445A0" w14:paraId="531E7FFE" w14:textId="0EF33069">
      <w:pPr>
        <w:pStyle w:val="Normal"/>
        <w:rPr/>
      </w:pPr>
    </w:p>
    <w:p w:rsidR="0E5445A0" w:rsidP="0E5445A0" w:rsidRDefault="0E5445A0" w14:paraId="4FDA098E" w14:textId="4D58870F">
      <w:pPr>
        <w:pStyle w:val="Normal"/>
        <w:widowControl w:val="0"/>
        <w:rPr>
          <w:noProof w:val="0"/>
          <w:lang w:val="en-US"/>
        </w:rPr>
      </w:pPr>
      <w:r w:rsidRPr="0E5445A0" w:rsidR="0E5445A0">
        <w:rPr>
          <w:noProof w:val="0"/>
          <w:lang w:val="en-US"/>
        </w:rPr>
        <w:t>例外：</w:t>
      </w:r>
    </w:p>
    <w:p w:rsidR="0E5445A0" w:rsidP="0E5445A0" w:rsidRDefault="0E5445A0" w14:paraId="37A481A4" w14:textId="6EC794A9">
      <w:pPr>
        <w:pStyle w:val="Normal"/>
        <w:widowControl w:val="0"/>
        <w:rPr>
          <w:noProof w:val="0"/>
          <w:lang w:val="en-US"/>
        </w:rPr>
      </w:pPr>
      <w:r w:rsidRPr="0E5445A0" w:rsidR="0E5445A0">
        <w:rPr>
          <w:noProof w:val="0"/>
          <w:lang w:val="en-US"/>
        </w:rPr>
        <w:t>例外一：國際金融業務分行對中華民國境內之個人、法人、政府機關或金融機構之收入</w:t>
      </w:r>
    </w:p>
    <w:p w:rsidR="0E5445A0" w:rsidP="0E5445A0" w:rsidRDefault="0E5445A0" w14:paraId="452A6B6C" w14:textId="1BCBD2A9">
      <w:pPr>
        <w:pStyle w:val="Normal"/>
        <w:widowControl w:val="0"/>
        <w:rPr>
          <w:noProof w:val="0"/>
          <w:lang w:val="en-US"/>
        </w:rPr>
      </w:pPr>
      <w:r w:rsidRPr="0E5445A0" w:rsidR="0E5445A0">
        <w:rPr>
          <w:noProof w:val="0"/>
          <w:lang w:val="en-US"/>
        </w:rPr>
        <w:t>針對國際金融業務分行對中華民國境內之個人、法人、政府機關或金融機構授信而來的收入，除依法免稅，應該由該分行於所得稅法第71條規定之期限內，就其組織之授信收入總額按百分之十五當成扣繳率來申報並納稅。而且根據所得稅法施行細則第60-1條規定(於2014/09/30</w:t>
      </w:r>
      <w:r w:rsidRPr="0E5445A0" w:rsidR="0E5445A0">
        <w:rPr>
          <w:noProof w:val="0"/>
          <w:lang w:val="en-US"/>
        </w:rPr>
        <w:t>修正並公布)，</w:t>
      </w:r>
      <w:r w:rsidRPr="0E5445A0" w:rsidR="0E5445A0">
        <w:rPr>
          <w:noProof w:val="0"/>
          <w:lang w:val="en-US"/>
        </w:rPr>
        <w:t>該分行之其餘所得應由其總機構依本法第3條第2項之規定，合併並申報以結算，並依本法、國際金融業務條例及所得基本稅額條例之規定徵免營利事業所得稅。</w:t>
      </w:r>
    </w:p>
    <w:p w:rsidR="0E5445A0" w:rsidP="0E5445A0" w:rsidRDefault="0E5445A0" w14:paraId="55A7452D" w14:textId="6F887CF4">
      <w:pPr>
        <w:pStyle w:val="Normal"/>
        <w:rPr/>
      </w:pPr>
    </w:p>
    <w:p w:rsidR="0E5445A0" w:rsidP="0E5445A0" w:rsidRDefault="0E5445A0" w14:paraId="07AD5EBE" w14:textId="611425F3">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36"/>
          <w:szCs w:val="36"/>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36"/>
          <w:szCs w:val="36"/>
          <w:u w:val="none"/>
          <w:lang w:val="en-US"/>
        </w:rPr>
        <w:t>結算申報</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36"/>
          <w:szCs w:val="36"/>
          <w:u w:val="none"/>
          <w:lang w:val="en-US"/>
        </w:rPr>
        <w:t>完稅</w:t>
      </w:r>
    </w:p>
    <w:p w:rsidR="0E5445A0" w:rsidP="0E5445A0" w:rsidRDefault="0E5445A0" w14:paraId="2F495F52" w14:textId="1899437A">
      <w:pPr>
        <w:pStyle w:val="Normal"/>
        <w:widowControl w:val="0"/>
        <w:rPr>
          <w:noProof w:val="0"/>
          <w:lang w:val="en-US"/>
        </w:rPr>
      </w:pPr>
      <w:r w:rsidRPr="0E5445A0" w:rsidR="0E5445A0">
        <w:rPr>
          <w:noProof w:val="0"/>
          <w:lang w:val="en-US"/>
        </w:rPr>
        <w:t>情況一</w:t>
      </w:r>
      <w:r w:rsidRPr="0E5445A0" w:rsidR="0E5445A0">
        <w:rPr>
          <w:noProof w:val="0"/>
          <w:lang w:val="en-US"/>
        </w:rPr>
        <w:t>：總機構在中華民國境內之營利事業</w:t>
      </w:r>
    </w:p>
    <w:p w:rsidR="0E5445A0" w:rsidP="0E5445A0" w:rsidRDefault="0E5445A0" w14:paraId="673BC265" w14:textId="2D6465BF">
      <w:pPr>
        <w:pStyle w:val="Normal"/>
        <w:widowControl w:val="0"/>
        <w:rPr>
          <w:noProof w:val="0"/>
          <w:lang w:val="en-US"/>
        </w:rPr>
      </w:pPr>
      <w:r w:rsidRPr="0E5445A0" w:rsidR="0E5445A0">
        <w:rPr>
          <w:noProof w:val="0"/>
          <w:lang w:val="en-US"/>
        </w:rPr>
        <w:t>針對總機構在中華民國境內之營利事業，除必須依法分離課稅之其所得，還必須針對中華民國境內和境外之其所得合併並向稽徵機關辦理申報以結算。</w:t>
      </w:r>
    </w:p>
    <w:p w:rsidR="0E5445A0" w:rsidP="0E5445A0" w:rsidRDefault="0E5445A0" w14:paraId="7D0B14E9" w14:textId="6F833B84">
      <w:pPr>
        <w:pStyle w:val="Normal"/>
        <w:widowControl w:val="0"/>
        <w:rPr>
          <w:noProof w:val="0"/>
          <w:lang w:val="en-US"/>
        </w:rPr>
      </w:pPr>
    </w:p>
    <w:p w:rsidR="0E5445A0" w:rsidP="0E5445A0" w:rsidRDefault="0E5445A0" w14:paraId="19A5B970" w14:textId="3851622B">
      <w:pPr>
        <w:pStyle w:val="Normal"/>
        <w:widowControl w:val="0"/>
        <w:rPr>
          <w:noProof w:val="0"/>
          <w:lang w:val="en-US"/>
        </w:rPr>
      </w:pPr>
      <w:r w:rsidRPr="0E5445A0" w:rsidR="0E5445A0">
        <w:rPr>
          <w:noProof w:val="0"/>
          <w:lang w:val="en-US"/>
        </w:rPr>
        <w:t>情況二：總機構在中華民國境外之營利事業</w:t>
      </w:r>
    </w:p>
    <w:p w:rsidR="0E5445A0" w:rsidP="0E5445A0" w:rsidRDefault="0E5445A0" w14:paraId="5BD84192" w14:textId="2CC75627">
      <w:pPr>
        <w:pStyle w:val="Normal"/>
        <w:widowControl w:val="0"/>
        <w:rPr>
          <w:noProof w:val="0"/>
          <w:lang w:val="en-US"/>
        </w:rPr>
      </w:pPr>
      <w:r w:rsidRPr="0E5445A0" w:rsidR="0E5445A0">
        <w:rPr>
          <w:noProof w:val="0"/>
          <w:lang w:val="en-US"/>
        </w:rPr>
        <w:t>情況二之一：在中華民國境內有固定營業場所</w:t>
      </w:r>
    </w:p>
    <w:p w:rsidR="0E5445A0" w:rsidP="0E5445A0" w:rsidRDefault="0E5445A0" w14:paraId="0014FACF" w14:textId="5A84F2D5">
      <w:pPr>
        <w:pStyle w:val="Normal"/>
        <w:widowControl w:val="0"/>
        <w:rPr>
          <w:noProof w:val="0"/>
          <w:lang w:val="en-US"/>
        </w:rPr>
      </w:pPr>
      <w:r w:rsidRPr="0E5445A0" w:rsidR="0E5445A0">
        <w:rPr>
          <w:noProof w:val="0"/>
          <w:lang w:val="en-US"/>
        </w:rPr>
        <w:t>針對總機構在中華民國境外之營利事業，且在中華民國境內有固定營業場所，應就來源為中華民國境內之其所得向稽徵機關辦理申報以結算</w:t>
      </w:r>
      <w:r w:rsidRPr="0E5445A0" w:rsidR="0E5445A0">
        <w:rPr>
          <w:noProof w:val="0"/>
          <w:lang w:val="en-US"/>
        </w:rPr>
        <w:t>。</w:t>
      </w:r>
    </w:p>
    <w:p w:rsidR="0E5445A0" w:rsidP="0E5445A0" w:rsidRDefault="0E5445A0" w14:paraId="29B90CA5" w14:textId="27594114">
      <w:pPr>
        <w:pStyle w:val="Normal"/>
        <w:widowControl w:val="0"/>
        <w:rPr>
          <w:noProof w:val="0"/>
          <w:lang w:val="en-US"/>
        </w:rPr>
      </w:pPr>
    </w:p>
    <w:p w:rsidR="0E5445A0" w:rsidP="0E5445A0" w:rsidRDefault="0E5445A0" w14:paraId="4E364FF3" w14:textId="479CD8B3">
      <w:pPr>
        <w:pStyle w:val="Normal"/>
        <w:widowControl w:val="0"/>
        <w:rPr>
          <w:noProof w:val="0"/>
          <w:lang w:val="en-US"/>
        </w:rPr>
      </w:pPr>
      <w:r w:rsidRPr="0E5445A0" w:rsidR="0E5445A0">
        <w:rPr>
          <w:noProof w:val="0"/>
          <w:lang w:val="en-US"/>
        </w:rPr>
        <w:t>情況二之二：在中華民國境內無固定營業場所且有營業代理人者</w:t>
      </w:r>
    </w:p>
    <w:p w:rsidR="0E5445A0" w:rsidP="0E5445A0" w:rsidRDefault="0E5445A0" w14:paraId="4A47BF73" w14:textId="588D5057">
      <w:pPr>
        <w:pStyle w:val="Normal"/>
        <w:widowControl w:val="0"/>
        <w:rPr>
          <w:noProof w:val="0"/>
          <w:lang w:val="en-US"/>
        </w:rPr>
      </w:pPr>
      <w:r w:rsidRPr="0E5445A0" w:rsidR="0E5445A0">
        <w:rPr>
          <w:noProof w:val="0"/>
          <w:lang w:val="en-US"/>
        </w:rPr>
        <w:t>針對總機構在中華民國境外之營利事業，但在中華民國境內無固定營業場所且有營業代理人者，營業代理人應該就來源為中華民國境內之其所得向稽徵機關辦理申報以結算。</w:t>
      </w:r>
    </w:p>
    <w:p w:rsidR="0E5445A0" w:rsidP="0E5445A0" w:rsidRDefault="0E5445A0" w14:paraId="04D4FC98" w14:textId="4C1B14FC">
      <w:pPr>
        <w:pStyle w:val="Normal"/>
        <w:widowControl w:val="0"/>
        <w:rPr>
          <w:noProof w:val="0"/>
          <w:lang w:val="en-US"/>
        </w:rPr>
      </w:pPr>
    </w:p>
    <w:p w:rsidR="0E5445A0" w:rsidP="0E5445A0" w:rsidRDefault="0E5445A0" w14:paraId="1DC5BC1C" w14:textId="45A70582">
      <w:pPr>
        <w:pStyle w:val="Normal"/>
        <w:widowControl w:val="0"/>
        <w:rPr>
          <w:noProof w:val="0"/>
          <w:lang w:val="en-US"/>
        </w:rPr>
      </w:pPr>
      <w:r w:rsidRPr="0E5445A0" w:rsidR="0E5445A0">
        <w:rPr>
          <w:noProof w:val="0"/>
          <w:lang w:val="en-US"/>
        </w:rPr>
        <w:t>情況三：其他</w:t>
      </w:r>
    </w:p>
    <w:p w:rsidR="0E5445A0" w:rsidP="0E5445A0" w:rsidRDefault="0E5445A0" w14:paraId="7E39F705" w14:textId="6020778A">
      <w:pPr>
        <w:pStyle w:val="Normal"/>
        <w:widowControl w:val="0"/>
        <w:rPr>
          <w:noProof w:val="0"/>
          <w:lang w:val="en-US"/>
        </w:rPr>
      </w:pPr>
      <w:r w:rsidRPr="0E5445A0" w:rsidR="0E5445A0">
        <w:rPr>
          <w:noProof w:val="0"/>
          <w:lang w:val="en-US"/>
        </w:rPr>
        <w:t>針對其他情況，因為不為稅法中營利事業之定義，所以不用繳納營利事業所得稅</w:t>
      </w:r>
      <w:r w:rsidRPr="0E5445A0" w:rsidR="0E5445A0">
        <w:rPr>
          <w:noProof w:val="0"/>
          <w:lang w:val="en-US"/>
        </w:rPr>
        <w:t>。</w:t>
      </w:r>
    </w:p>
    <w:p w:rsidR="0E5445A0" w:rsidP="0E5445A0" w:rsidRDefault="0E5445A0" w14:paraId="481735C8" w14:textId="62B799E0">
      <w:pPr>
        <w:pStyle w:val="Normal"/>
        <w:widowControl w:val="0"/>
        <w:rPr>
          <w:noProof w:val="0"/>
          <w:lang w:val="en-US"/>
        </w:rPr>
      </w:pPr>
    </w:p>
    <w:p w:rsidR="0E5445A0" w:rsidP="0E5445A0" w:rsidRDefault="0E5445A0" w14:paraId="17C7A952" w14:textId="4D58870F">
      <w:pPr>
        <w:pStyle w:val="Normal"/>
        <w:widowControl w:val="0"/>
        <w:rPr>
          <w:noProof w:val="0"/>
          <w:lang w:val="en-US"/>
        </w:rPr>
      </w:pPr>
      <w:r w:rsidRPr="0E5445A0" w:rsidR="0E5445A0">
        <w:rPr>
          <w:noProof w:val="0"/>
          <w:lang w:val="en-US"/>
        </w:rPr>
        <w:t>例外：</w:t>
      </w:r>
    </w:p>
    <w:p w:rsidR="0E5445A0" w:rsidP="0E5445A0" w:rsidRDefault="0E5445A0" w14:paraId="0F9E818B" w14:textId="5B1EB649">
      <w:pPr>
        <w:pStyle w:val="Normal"/>
        <w:widowControl w:val="0"/>
        <w:rPr>
          <w:noProof w:val="0"/>
          <w:lang w:val="en-US"/>
        </w:rPr>
      </w:pPr>
      <w:r w:rsidRPr="0E5445A0" w:rsidR="0E5445A0">
        <w:rPr>
          <w:noProof w:val="0"/>
          <w:lang w:val="en-US"/>
        </w:rPr>
        <w:t>例外一：總機構在中華民國境外且在中華民國境內無分支機構但在在中華民國境內有營業代理人</w:t>
      </w:r>
    </w:p>
    <w:p w:rsidR="0E5445A0" w:rsidP="0E5445A0" w:rsidRDefault="0E5445A0" w14:paraId="34C75553" w14:textId="0C89FC8A">
      <w:pPr>
        <w:pStyle w:val="Normal"/>
        <w:widowControl w:val="0"/>
        <w:rPr>
          <w:noProof w:val="0"/>
          <w:lang w:val="en-US"/>
        </w:rPr>
      </w:pPr>
      <w:r w:rsidRPr="0E5445A0" w:rsidR="0E5445A0">
        <w:rPr>
          <w:noProof w:val="0"/>
          <w:lang w:val="en-US"/>
        </w:rPr>
        <w:t>針對符合以下條件之營利事業：</w:t>
      </w:r>
    </w:p>
    <w:p w:rsidR="0E5445A0" w:rsidP="0E5445A0" w:rsidRDefault="0E5445A0" w14:paraId="7D0FA9D7" w14:textId="0353C19B">
      <w:pPr>
        <w:pStyle w:val="ListParagraph"/>
        <w:widowControl w:val="0"/>
        <w:numPr>
          <w:ilvl w:val="0"/>
          <w:numId w:val="2"/>
        </w:numPr>
        <w:rPr>
          <w:noProof w:val="0"/>
          <w:lang w:val="en-US"/>
        </w:rPr>
      </w:pPr>
      <w:r w:rsidRPr="0E5445A0" w:rsidR="0E5445A0">
        <w:rPr>
          <w:noProof w:val="0"/>
          <w:lang w:val="en-US"/>
        </w:rPr>
        <w:t>總機構在中華民國境外</w:t>
      </w:r>
      <w:r w:rsidRPr="0E5445A0" w:rsidR="0E5445A0">
        <w:rPr>
          <w:noProof w:val="0"/>
          <w:lang w:val="en-US"/>
        </w:rPr>
        <w:t>。</w:t>
      </w:r>
    </w:p>
    <w:p w:rsidR="0E5445A0" w:rsidP="0E5445A0" w:rsidRDefault="0E5445A0" w14:paraId="457F7E59" w14:textId="73510079">
      <w:pPr>
        <w:pStyle w:val="ListParagraph"/>
        <w:widowControl w:val="0"/>
        <w:numPr>
          <w:ilvl w:val="0"/>
          <w:numId w:val="2"/>
        </w:numPr>
        <w:rPr>
          <w:noProof w:val="0"/>
          <w:lang w:val="en-US"/>
        </w:rPr>
      </w:pPr>
      <w:r w:rsidRPr="0E5445A0" w:rsidR="0E5445A0">
        <w:rPr>
          <w:noProof w:val="0"/>
          <w:lang w:val="en-US"/>
        </w:rPr>
        <w:t>在中華民國境內無分支機構</w:t>
      </w:r>
      <w:r w:rsidRPr="0E5445A0" w:rsidR="0E5445A0">
        <w:rPr>
          <w:noProof w:val="0"/>
          <w:lang w:val="en-US"/>
        </w:rPr>
        <w:t>。</w:t>
      </w:r>
    </w:p>
    <w:p w:rsidR="0E5445A0" w:rsidP="0E5445A0" w:rsidRDefault="0E5445A0" w14:paraId="075A7BCB" w14:textId="26EC8468">
      <w:pPr>
        <w:pStyle w:val="ListParagraph"/>
        <w:widowControl w:val="0"/>
        <w:numPr>
          <w:ilvl w:val="0"/>
          <w:numId w:val="2"/>
        </w:numPr>
        <w:rPr>
          <w:noProof w:val="0"/>
          <w:lang w:val="en-US"/>
        </w:rPr>
      </w:pPr>
      <w:r w:rsidRPr="0E5445A0" w:rsidR="0E5445A0">
        <w:rPr>
          <w:noProof w:val="0"/>
          <w:lang w:val="en-US"/>
        </w:rPr>
        <w:t>在在中華民國境內有營業代理人</w:t>
      </w:r>
      <w:r w:rsidRPr="0E5445A0" w:rsidR="0E5445A0">
        <w:rPr>
          <w:noProof w:val="0"/>
          <w:lang w:val="en-US"/>
        </w:rPr>
        <w:t>。</w:t>
      </w:r>
    </w:p>
    <w:p w:rsidR="0E5445A0" w:rsidP="0E5445A0" w:rsidRDefault="0E5445A0" w14:paraId="41784F95" w14:textId="437D8000">
      <w:pPr>
        <w:pStyle w:val="Normal"/>
        <w:widowControl w:val="0"/>
        <w:ind w:left="0"/>
        <w:rPr>
          <w:noProof w:val="0"/>
          <w:lang w:val="en-US"/>
        </w:rPr>
      </w:pPr>
      <w:r w:rsidRPr="0E5445A0" w:rsidR="0E5445A0">
        <w:rPr>
          <w:noProof w:val="0"/>
          <w:lang w:val="en-US"/>
        </w:rPr>
        <w:t>其所得額計算方式如下：</w:t>
      </w:r>
    </w:p>
    <w:p w:rsidR="0E5445A0" w:rsidP="0E5445A0" w:rsidRDefault="0E5445A0" w14:paraId="1351EC7B" w14:textId="45F6CDD0">
      <w:pPr>
        <w:pStyle w:val="ListParagraph"/>
        <w:widowControl w:val="0"/>
        <w:numPr>
          <w:ilvl w:val="0"/>
          <w:numId w:val="4"/>
        </w:numPr>
        <w:rPr>
          <w:noProof w:val="0"/>
          <w:lang w:val="en-US"/>
        </w:rPr>
      </w:pPr>
      <w:r w:rsidRPr="0E5445A0" w:rsidR="0E5445A0">
        <w:rPr>
          <w:noProof w:val="0"/>
          <w:lang w:val="en-US"/>
        </w:rPr>
        <w:t>其所得額為在中華民國境內對中華民國境內之經營國際運輸事業之營業收入的十個百分比</w:t>
      </w:r>
      <w:r w:rsidRPr="0E5445A0" w:rsidR="0E5445A0">
        <w:rPr>
          <w:noProof w:val="0"/>
          <w:lang w:val="en-US"/>
        </w:rPr>
        <w:t>。</w:t>
      </w:r>
    </w:p>
    <w:p w:rsidR="0E5445A0" w:rsidP="0E5445A0" w:rsidRDefault="0E5445A0" w14:paraId="15E8DB0A" w14:textId="3F1E5C58">
      <w:pPr>
        <w:pStyle w:val="ListParagraph"/>
        <w:widowControl w:val="0"/>
        <w:numPr>
          <w:ilvl w:val="0"/>
          <w:numId w:val="4"/>
        </w:numPr>
        <w:rPr>
          <w:noProof w:val="0"/>
          <w:lang w:val="en-US"/>
        </w:rPr>
      </w:pPr>
      <w:r w:rsidRPr="0E5445A0" w:rsidR="0E5445A0">
        <w:rPr>
          <w:noProof w:val="0"/>
          <w:lang w:val="en-US"/>
        </w:rPr>
        <w:t>但若為符合前面條件的活動為工程承包、工程營建、技術服務提供、機器設備出租，其所得額為該收入的百分十五個百分比</w:t>
      </w:r>
      <w:r w:rsidRPr="0E5445A0" w:rsidR="0E5445A0">
        <w:rPr>
          <w:noProof w:val="0"/>
          <w:lang w:val="en-US"/>
        </w:rPr>
        <w:t>。</w:t>
      </w:r>
    </w:p>
    <w:p w:rsidR="0E5445A0" w:rsidP="0E5445A0" w:rsidRDefault="0E5445A0" w14:paraId="0E4A1A1B" w14:textId="3A9A134D">
      <w:pPr>
        <w:pStyle w:val="Normal"/>
        <w:widowControl w:val="0"/>
        <w:ind w:left="0"/>
        <w:rPr>
          <w:noProof w:val="0"/>
          <w:lang w:val="en-US"/>
        </w:rPr>
      </w:pPr>
      <w:r w:rsidRPr="0E5445A0" w:rsidR="0E5445A0">
        <w:rPr>
          <w:noProof w:val="0"/>
          <w:lang w:val="en-US"/>
        </w:rPr>
        <w:t>其所得稅之繳納方式如下</w:t>
      </w:r>
      <w:r w:rsidRPr="0E5445A0" w:rsidR="0E5445A0">
        <w:rPr>
          <w:noProof w:val="0"/>
          <w:lang w:val="en-US"/>
        </w:rPr>
        <w:t>：</w:t>
      </w:r>
    </w:p>
    <w:p w:rsidR="0E5445A0" w:rsidP="0E5445A0" w:rsidRDefault="0E5445A0" w14:paraId="3639B597" w14:textId="3286B0F1">
      <w:pPr>
        <w:pStyle w:val="Normal"/>
        <w:widowControl w:val="0"/>
        <w:ind w:left="0"/>
        <w:rPr>
          <w:noProof w:val="0"/>
          <w:lang w:val="en-US"/>
        </w:rPr>
      </w:pPr>
      <w:r w:rsidRPr="0E5445A0" w:rsidR="0E5445A0">
        <w:rPr>
          <w:noProof w:val="0"/>
          <w:lang w:val="en-US"/>
        </w:rPr>
        <w:t>先按其所得額繳納其所得稅，在由其營業代理人按20%當成扣繳率進行就源扣繳。不適用其虧損扣除之相關規範。且須向財政部申請核准或由財政部核定。</w:t>
      </w:r>
    </w:p>
    <w:p w:rsidR="0E5445A0" w:rsidP="0E5445A0" w:rsidRDefault="0E5445A0" w14:paraId="614BE240" w14:textId="534ACFFB">
      <w:pPr>
        <w:pStyle w:val="Normal"/>
        <w:widowControl w:val="0"/>
        <w:ind w:left="0"/>
        <w:rPr>
          <w:noProof w:val="0"/>
          <w:lang w:val="en-US"/>
        </w:rPr>
      </w:pPr>
    </w:p>
    <w:p w:rsidR="0E5445A0" w:rsidP="0E5445A0" w:rsidRDefault="0E5445A0" w14:paraId="70AFDF8B" w14:textId="36AD6DE8">
      <w:pPr>
        <w:pStyle w:val="Normal"/>
        <w:widowControl w:val="0"/>
        <w:ind w:left="0"/>
        <w:rPr>
          <w:noProof w:val="0"/>
          <w:lang w:val="en-US"/>
        </w:rPr>
      </w:pPr>
      <w:r w:rsidRPr="0E5445A0" w:rsidR="0E5445A0">
        <w:rPr>
          <w:noProof w:val="0"/>
          <w:lang w:val="en-US"/>
        </w:rPr>
        <w:t>例外二：國外影片事業在中華民國境內無分支機構且在華民國境內有營業代理人</w:t>
      </w:r>
    </w:p>
    <w:p w:rsidR="0E5445A0" w:rsidP="0E5445A0" w:rsidRDefault="0E5445A0" w14:paraId="52BD505E" w14:textId="1D34E73B">
      <w:pPr>
        <w:pStyle w:val="Normal"/>
        <w:widowControl w:val="0"/>
        <w:ind w:left="0"/>
        <w:rPr>
          <w:noProof w:val="0"/>
          <w:lang w:val="en-US"/>
        </w:rPr>
      </w:pPr>
      <w:r w:rsidRPr="0E5445A0" w:rsidR="0E5445A0">
        <w:rPr>
          <w:noProof w:val="0"/>
          <w:lang w:val="en-US"/>
        </w:rPr>
        <w:t>根據所得稅法第26條、第88條和第89條規定。</w:t>
      </w:r>
    </w:p>
    <w:p w:rsidR="0E5445A0" w:rsidP="0E5445A0" w:rsidRDefault="0E5445A0" w14:paraId="3E341466" w14:textId="2F24367B">
      <w:pPr>
        <w:pStyle w:val="Normal"/>
        <w:widowControl w:val="0"/>
        <w:ind w:left="0"/>
        <w:rPr>
          <w:noProof w:val="0"/>
          <w:lang w:val="en-US"/>
        </w:rPr>
      </w:pPr>
      <w:r w:rsidRPr="0E5445A0" w:rsidR="0E5445A0">
        <w:rPr>
          <w:noProof w:val="0"/>
          <w:lang w:val="en-US"/>
        </w:rPr>
        <w:t>針對符合以下條件之國外影片事業：</w:t>
      </w:r>
    </w:p>
    <w:p w:rsidR="0E5445A0" w:rsidP="0E5445A0" w:rsidRDefault="0E5445A0" w14:paraId="44F2A828" w14:textId="169B6085">
      <w:pPr>
        <w:pStyle w:val="ListParagraph"/>
        <w:widowControl w:val="0"/>
        <w:numPr>
          <w:ilvl w:val="0"/>
          <w:numId w:val="5"/>
        </w:numPr>
        <w:rPr>
          <w:noProof w:val="0"/>
          <w:lang w:val="en-US"/>
        </w:rPr>
      </w:pPr>
      <w:r w:rsidRPr="0E5445A0" w:rsidR="0E5445A0">
        <w:rPr>
          <w:noProof w:val="0"/>
          <w:lang w:val="en-US"/>
        </w:rPr>
        <w:t>在中華民國境內無分支機構</w:t>
      </w:r>
      <w:r w:rsidRPr="0E5445A0" w:rsidR="0E5445A0">
        <w:rPr>
          <w:noProof w:val="0"/>
          <w:lang w:val="en-US"/>
        </w:rPr>
        <w:t>。</w:t>
      </w:r>
    </w:p>
    <w:p w:rsidR="0E5445A0" w:rsidP="0E5445A0" w:rsidRDefault="0E5445A0" w14:paraId="05A267D4" w14:textId="5E7DA148">
      <w:pPr>
        <w:pStyle w:val="ListParagraph"/>
        <w:widowControl w:val="0"/>
        <w:numPr>
          <w:ilvl w:val="0"/>
          <w:numId w:val="5"/>
        </w:numPr>
        <w:rPr>
          <w:noProof w:val="0"/>
          <w:lang w:val="en-US"/>
        </w:rPr>
      </w:pPr>
      <w:r w:rsidRPr="0E5445A0" w:rsidR="0E5445A0">
        <w:rPr>
          <w:noProof w:val="0"/>
          <w:lang w:val="en-US"/>
        </w:rPr>
        <w:t>且在華民國境內有營業代理人</w:t>
      </w:r>
      <w:r w:rsidRPr="0E5445A0" w:rsidR="0E5445A0">
        <w:rPr>
          <w:noProof w:val="0"/>
          <w:lang w:val="en-US"/>
        </w:rPr>
        <w:t>。</w:t>
      </w:r>
    </w:p>
    <w:p w:rsidR="0E5445A0" w:rsidP="0E5445A0" w:rsidRDefault="0E5445A0" w14:paraId="7255447C" w14:textId="70B283AA">
      <w:pPr>
        <w:pStyle w:val="Normal"/>
        <w:widowControl w:val="0"/>
        <w:ind w:left="0"/>
        <w:rPr>
          <w:noProof w:val="0"/>
          <w:lang w:val="en-US"/>
        </w:rPr>
      </w:pPr>
      <w:r w:rsidRPr="0E5445A0" w:rsidR="0E5445A0">
        <w:rPr>
          <w:noProof w:val="0"/>
          <w:lang w:val="en-US"/>
        </w:rPr>
        <w:t>其</w:t>
      </w:r>
      <w:r w:rsidRPr="0E5445A0" w:rsidR="0E5445A0">
        <w:rPr>
          <w:noProof w:val="0"/>
          <w:lang w:val="en-US"/>
        </w:rPr>
        <w:t>所得額之計算方式如下</w:t>
      </w:r>
      <w:r w:rsidRPr="0E5445A0" w:rsidR="0E5445A0">
        <w:rPr>
          <w:noProof w:val="0"/>
          <w:lang w:val="en-US"/>
        </w:rPr>
        <w:t>：</w:t>
      </w:r>
    </w:p>
    <w:p w:rsidR="0E5445A0" w:rsidP="0E5445A0" w:rsidRDefault="0E5445A0" w14:paraId="3B8F1B4F" w14:textId="1D5037F0">
      <w:pPr>
        <w:pStyle w:val="Normal"/>
        <w:widowControl w:val="0"/>
        <w:ind w:left="0"/>
        <w:rPr>
          <w:noProof w:val="0"/>
          <w:lang w:val="en-US"/>
        </w:rPr>
      </w:pPr>
      <w:r w:rsidRPr="0E5445A0" w:rsidR="0E5445A0">
        <w:rPr>
          <w:noProof w:val="0"/>
          <w:lang w:val="en-US"/>
        </w:rPr>
        <w:t>其所得額為出租影片收入之百分五十個百分比</w:t>
      </w:r>
    </w:p>
    <w:p w:rsidR="0E5445A0" w:rsidP="0E5445A0" w:rsidRDefault="0E5445A0" w14:paraId="39C39CDC" w14:textId="3A9A134D">
      <w:pPr>
        <w:pStyle w:val="Normal"/>
        <w:widowControl w:val="0"/>
        <w:ind w:left="0"/>
        <w:rPr>
          <w:noProof w:val="0"/>
          <w:lang w:val="en-US"/>
        </w:rPr>
      </w:pPr>
      <w:r w:rsidRPr="0E5445A0" w:rsidR="0E5445A0">
        <w:rPr>
          <w:noProof w:val="0"/>
          <w:lang w:val="en-US"/>
        </w:rPr>
        <w:t>其所得稅之繳納方式如下：</w:t>
      </w:r>
    </w:p>
    <w:p w:rsidR="0E5445A0" w:rsidP="0E5445A0" w:rsidRDefault="0E5445A0" w14:paraId="478B9471" w14:textId="716F69F2">
      <w:pPr>
        <w:pStyle w:val="Normal"/>
        <w:widowControl w:val="0"/>
        <w:ind w:left="0"/>
        <w:rPr>
          <w:noProof w:val="0"/>
          <w:lang w:val="en-US"/>
        </w:rPr>
      </w:pPr>
      <w:r w:rsidRPr="0E5445A0" w:rsidR="0E5445A0">
        <w:rPr>
          <w:noProof w:val="0"/>
          <w:lang w:val="en-US"/>
        </w:rPr>
        <w:t>先按其所得額繳納其所得稅，在由其營業代理人按20%當成扣繳率進行就源扣繳。</w:t>
      </w:r>
    </w:p>
    <w:p w:rsidR="0E5445A0" w:rsidP="0E5445A0" w:rsidRDefault="0E5445A0" w14:paraId="72795E86" w14:textId="30675C6E">
      <w:pPr>
        <w:pStyle w:val="Normal"/>
        <w:widowControl w:val="0"/>
        <w:ind w:left="0"/>
        <w:rPr>
          <w:noProof w:val="0"/>
          <w:lang w:val="en-US"/>
        </w:rPr>
      </w:pPr>
    </w:p>
    <w:p w:rsidR="0E5445A0" w:rsidP="0E5445A0" w:rsidRDefault="0E5445A0" w14:paraId="1739FF45" w14:textId="223F2701">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48"/>
          <w:szCs w:val="48"/>
          <w:u w:val="none"/>
          <w:lang w:val="en-US"/>
        </w:rPr>
        <w:t>特例</w:t>
      </w:r>
    </w:p>
    <w:p w:rsidR="0E5445A0" w:rsidP="0E5445A0" w:rsidRDefault="0E5445A0" w14:paraId="3CBE7FF4" w14:textId="31A3CCE8">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針對大陸地區</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，必須適用不同的法條。</w:t>
      </w:r>
    </w:p>
    <w:p w:rsidR="0E5445A0" w:rsidP="0E5445A0" w:rsidRDefault="0E5445A0" w14:paraId="6520A077" w14:textId="208C1EC9">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2990AEE9" w14:textId="01343F96">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情況一：從居住中華民國境內之人民、位於該地之法人、團體或其他機構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(以下簡稱台灣地區之人民、法人、團體或其他機構)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對大陸地區之所得</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也就是，來源地為大陸地區</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6E4E924B" w14:textId="707D5C38">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19AC9581" w14:textId="21C50867">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規範一：</w:t>
      </w:r>
    </w:p>
    <w:p w:rsidR="0E5445A0" w:rsidP="0E5445A0" w:rsidRDefault="0E5445A0" w14:paraId="4120D21D" w14:textId="5749C340">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針對此情況，其所得應該和中華民國之來源所得合併課稅。不過，適用大陸地區之扣抵稅額之相關規範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0CB9D794" w14:textId="7B8C7E58">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大陸地區之扣抵稅額為在大陸地區已繳納之所得稅，但唯獨不能超過在大陸地區所得而須增繳之稅額。</w:t>
      </w:r>
    </w:p>
    <w:p w:rsidR="0E5445A0" w:rsidP="0E5445A0" w:rsidRDefault="0E5445A0" w14:paraId="183789EC" w14:textId="72DD6409">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092A2623" w14:textId="0DF40317">
      <w:pPr>
        <w:pStyle w:val="Normal"/>
        <w:widowControl w:val="0"/>
        <w:ind w:left="0"/>
        <w:rPr>
          <w:noProof w:val="0"/>
          <w:lang w:val="en-US"/>
        </w:rPr>
      </w:pPr>
      <w:r w:rsidRPr="0E5445A0" w:rsidR="0E5445A0">
        <w:rPr>
          <w:noProof w:val="0"/>
          <w:lang w:val="en-US"/>
        </w:rPr>
        <w:t>用數學式子表達為：</w:t>
      </w:r>
    </w:p>
    <w:p w:rsidR="0E5445A0" w:rsidP="0E5445A0" w:rsidRDefault="0E5445A0" w14:paraId="12B0EB1E" w14:textId="70C1891B">
      <w:pPr>
        <w:pStyle w:val="Normal"/>
        <w:widowControl w:val="0"/>
        <w:ind w:left="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大陸地區之扣抵稅額</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w:rsidR="0E5445A0" w:rsidP="0E5445A0" w:rsidRDefault="0E5445A0" w14:paraId="669B34B6" w14:textId="6F94D57C">
      <w:pPr>
        <w:pStyle w:val="Normal"/>
        <w:widowControl w:val="0"/>
        <w:ind w:left="0" w:firstLine="72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min (</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在大陸地區已繳納之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所得稅</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 ( </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在大陸地區所得而須增繳之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 </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稅額</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w:rsidR="0E5445A0" w:rsidP="0E5445A0" w:rsidRDefault="0E5445A0" w14:paraId="06FC5F34" w14:textId="03D71A1F">
      <w:pPr>
        <w:pStyle w:val="Normal"/>
        <w:widowControl w:val="0"/>
        <w:ind w:left="0"/>
        <w:rPr>
          <w:noProof w:val="0"/>
          <w:lang w:val="en-US"/>
        </w:rPr>
      </w:pPr>
    </w:p>
    <w:p w:rsidR="0E5445A0" w:rsidP="0E5445A0" w:rsidRDefault="0E5445A0" w14:paraId="3D7F2660" w14:textId="7A77BCF8">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規範二：</w:t>
      </w:r>
    </w:p>
    <w:p w:rsidR="0E5445A0" w:rsidP="0E5445A0" w:rsidRDefault="0E5445A0" w14:paraId="1D28386B" w14:textId="5E88738C">
      <w:pPr>
        <w:pStyle w:val="Normal"/>
        <w:widowControl w:val="0"/>
        <w:ind w:left="0"/>
        <w:rPr>
          <w:noProof w:val="0"/>
          <w:lang w:val="en-US"/>
        </w:rPr>
      </w:pPr>
      <w:r w:rsidRPr="0E5445A0" w:rsidR="0E5445A0">
        <w:rPr>
          <w:noProof w:val="0"/>
          <w:lang w:val="en-US"/>
        </w:rPr>
        <w:t>在此情況，針對大陸地區投資收益之課稅規範</w:t>
      </w:r>
      <w:r w:rsidRPr="0E5445A0" w:rsidR="0E5445A0">
        <w:rPr>
          <w:noProof w:val="0"/>
          <w:lang w:val="en-US"/>
        </w:rPr>
        <w:t>如下</w:t>
      </w:r>
      <w:r w:rsidRPr="0E5445A0" w:rsidR="0E5445A0">
        <w:rPr>
          <w:noProof w:val="0"/>
          <w:lang w:val="en-US"/>
        </w:rPr>
        <w:t>：</w:t>
      </w:r>
    </w:p>
    <w:p w:rsidR="0E5445A0" w:rsidP="0E5445A0" w:rsidRDefault="0E5445A0" w14:paraId="550BC3F5" w14:textId="3C6CCCA0">
      <w:pPr>
        <w:pStyle w:val="ListParagraph"/>
        <w:widowControl w:val="0"/>
        <w:numPr>
          <w:ilvl w:val="0"/>
          <w:numId w:val="7"/>
        </w:numPr>
        <w:rPr>
          <w:noProof w:val="0"/>
          <w:lang w:val="en-US"/>
        </w:rPr>
      </w:pPr>
      <w:r w:rsidRPr="0E5445A0" w:rsidR="0E5445A0">
        <w:rPr>
          <w:noProof w:val="0"/>
          <w:lang w:val="en-US"/>
        </w:rPr>
        <w:t>若為直接地在大陸地區設立分公司或直接地投資大陸地區，則適用前項(規範一)之規定課稅</w:t>
      </w:r>
      <w:r w:rsidRPr="0E5445A0" w:rsidR="0E5445A0">
        <w:rPr>
          <w:noProof w:val="0"/>
          <w:lang w:val="en-US"/>
        </w:rPr>
        <w:t>。</w:t>
      </w:r>
    </w:p>
    <w:p w:rsidR="0E5445A0" w:rsidP="0E5445A0" w:rsidRDefault="0E5445A0" w14:paraId="1AB1ECD6" w14:textId="42D86DA0">
      <w:pPr>
        <w:pStyle w:val="Normal"/>
        <w:widowControl w:val="0"/>
        <w:ind w:left="0"/>
        <w:rPr>
          <w:noProof w:val="0"/>
          <w:lang w:val="en-US"/>
        </w:rPr>
      </w:pPr>
      <w:r w:rsidRPr="0E5445A0" w:rsidR="0E5445A0">
        <w:rPr>
          <w:noProof w:val="0"/>
          <w:lang w:val="en-US"/>
        </w:rPr>
        <w:t>若為間接地在大陸地區設立分公司或直接地投資大陸地區，則要按照其所得地</w:t>
      </w:r>
      <w:r w:rsidRPr="0E5445A0" w:rsidR="0E5445A0">
        <w:rPr>
          <w:noProof w:val="0"/>
          <w:lang w:val="en-US"/>
        </w:rPr>
        <w:t>判斷</w:t>
      </w:r>
      <w:r w:rsidRPr="0E5445A0" w:rsidR="0E5445A0">
        <w:rPr>
          <w:noProof w:val="0"/>
          <w:lang w:val="en-US"/>
        </w:rPr>
        <w:t>。</w:t>
      </w:r>
    </w:p>
    <w:p w:rsidR="0E5445A0" w:rsidP="0E5445A0" w:rsidRDefault="0E5445A0" w14:paraId="59A28016" w14:textId="44F673D0">
      <w:pPr>
        <w:pStyle w:val="ListParagraph"/>
        <w:widowControl w:val="0"/>
        <w:numPr>
          <w:ilvl w:val="0"/>
          <w:numId w:val="10"/>
        </w:numPr>
        <w:rPr>
          <w:noProof w:val="0"/>
          <w:lang w:val="en-US"/>
        </w:rPr>
      </w:pPr>
      <w:r w:rsidRPr="0E5445A0" w:rsidR="0E5445A0">
        <w:rPr>
          <w:noProof w:val="0"/>
          <w:lang w:val="en-US"/>
        </w:rPr>
        <w:t>被視為大陸地區之所得</w:t>
      </w:r>
    </w:p>
    <w:p w:rsidR="0E5445A0" w:rsidP="0E5445A0" w:rsidRDefault="0E5445A0" w14:paraId="0665901D" w14:textId="14BC0459">
      <w:pPr>
        <w:pStyle w:val="Normal"/>
        <w:widowControl w:val="0"/>
        <w:ind w:firstLine="72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noProof w:val="0"/>
          <w:lang w:val="en-US"/>
        </w:rPr>
        <w:t>自2008/07/01起，</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台灣地區之人民、法人、團體或其他機構符合下列所有條件：</w:t>
      </w:r>
    </w:p>
    <w:p w:rsidR="0E5445A0" w:rsidP="0E5445A0" w:rsidRDefault="0E5445A0" w14:paraId="6CA5101B" w14:textId="0203080B">
      <w:pPr>
        <w:pStyle w:val="ListParagraph"/>
        <w:widowControl w:val="0"/>
        <w:numPr>
          <w:ilvl w:val="0"/>
          <w:numId w:val="9"/>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經主管機關許可</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0694A4E5" w14:textId="48E0FA50">
      <w:pPr>
        <w:pStyle w:val="ListParagraph"/>
        <w:widowControl w:val="0"/>
        <w:numPr>
          <w:ilvl w:val="0"/>
          <w:numId w:val="9"/>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並經由第三地區之公司或其事業在大陸地區之投資</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02CCD1EF" w14:textId="00C14965">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應該在依法列報第三地區之投資收益時，針對其屬於源自轉大陸地區之公司或事業分配之收益部分，視為大陸地區來源所得，所以應該依規範一</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課徵所得稅。</w:t>
      </w:r>
    </w:p>
    <w:p w:rsidR="0E5445A0" w:rsidP="0E5445A0" w:rsidRDefault="0E5445A0" w14:paraId="1DDC49D4" w14:textId="4EBB3789">
      <w:pPr>
        <w:pStyle w:val="ListParagraph"/>
        <w:widowControl w:val="0"/>
        <w:numPr>
          <w:ilvl w:val="0"/>
          <w:numId w:val="10"/>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不被視為大陸地區所得</w:t>
      </w:r>
    </w:p>
    <w:p w:rsidR="0E5445A0" w:rsidP="0E5445A0" w:rsidRDefault="0E5445A0" w14:paraId="127815AA" w14:textId="77D9258F">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在此情況，若不被視為大陸地區所得，則雖然不適用規範一，但符合以下任一個條件，可因第三地區及大陸地區之扣抵稅額而使營利事業所得淨額減少。</w:t>
      </w:r>
    </w:p>
    <w:p w:rsidR="0E5445A0" w:rsidP="0E5445A0" w:rsidRDefault="0E5445A0" w14:paraId="2EB17D18" w14:textId="07C1D762">
      <w:pPr>
        <w:pStyle w:val="ListParagraph"/>
        <w:widowControl w:val="0"/>
        <w:numPr>
          <w:ilvl w:val="0"/>
          <w:numId w:val="1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在大陸地區設立分公司</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6AB397A8" w14:textId="4C634581">
      <w:pPr>
        <w:pStyle w:val="ListParagraph"/>
        <w:widowControl w:val="0"/>
        <w:numPr>
          <w:ilvl w:val="0"/>
          <w:numId w:val="1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投資大陸地區公司</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2287B09E" w14:textId="18BD306B">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59E5599A" w14:textId="09950E1E">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情況二：從對大陸地區對居住中華民國境內之人民、位於該地之法人、團體或其他機</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(以下簡稱台灣地區之人民、法人、團體或其他機</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)之所</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得(也就是，來源地為台灣地區)</w:t>
      </w:r>
    </w:p>
    <w:p w:rsidR="0E5445A0" w:rsidP="0E5445A0" w:rsidRDefault="0E5445A0" w14:paraId="66F8FFCD" w14:textId="77141813">
      <w:pPr>
        <w:pStyle w:val="ListParagraph"/>
        <w:widowControl w:val="0"/>
        <w:numPr>
          <w:ilvl w:val="0"/>
          <w:numId w:val="17"/>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若符合下列所有條件，則其所得應該被視為台灣地區之來源所得，準用台灣地區人民之課稅之相關規範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5E2D947F" w14:textId="43B58E25">
      <w:pPr>
        <w:pStyle w:val="ListParagraph"/>
        <w:widowControl w:val="0"/>
        <w:numPr>
          <w:ilvl w:val="0"/>
          <w:numId w:val="1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在課稅年度在台灣地區居留累積滿183日。</w:t>
      </w:r>
    </w:p>
    <w:p w:rsidR="0E5445A0" w:rsidP="0E5445A0" w:rsidRDefault="0E5445A0" w14:paraId="60FD159B" w14:textId="6E6B70D5">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註記：</w:t>
      </w:r>
    </w:p>
    <w:p w:rsidR="0E5445A0" w:rsidP="0E5445A0" w:rsidRDefault="0E5445A0" w14:paraId="30C02A01" w14:textId="424FEA99">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183日為1年的一半左右。該數字很常出現在稅務法規裡。</w:t>
      </w:r>
    </w:p>
    <w:p w:rsidR="0E5445A0" w:rsidP="0E5445A0" w:rsidRDefault="0E5445A0" w14:paraId="1D000CDA" w14:textId="4B6FD9A0">
      <w:pPr>
        <w:pStyle w:val="ListParagraph"/>
        <w:widowControl w:val="0"/>
        <w:numPr>
          <w:ilvl w:val="0"/>
          <w:numId w:val="17"/>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若不符合上述條件時，則要判斷以下情況：</w:t>
      </w:r>
    </w:p>
    <w:p w:rsidR="0E5445A0" w:rsidP="0E5445A0" w:rsidRDefault="0E5445A0" w14:paraId="063D5D22" w14:textId="4DBD415E">
      <w:pPr>
        <w:pStyle w:val="ListParagraph"/>
        <w:widowControl w:val="0"/>
        <w:numPr>
          <w:ilvl w:val="0"/>
          <w:numId w:val="14"/>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有固定營業場所</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062488D2" w14:textId="51B14BB3">
      <w:pPr>
        <w:pStyle w:val="Normal"/>
        <w:widowControl w:val="0"/>
        <w:ind w:left="720" w:firstLine="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則應被視為台灣地區之來源所得</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，準用台灣地區人民之課稅之相關規範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4F86DFFA" w14:textId="79D0941F">
      <w:pPr>
        <w:pStyle w:val="ListParagraph"/>
        <w:widowControl w:val="0"/>
        <w:numPr>
          <w:ilvl w:val="0"/>
          <w:numId w:val="14"/>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沒有固定營也場所但有營業代理人：</w:t>
      </w:r>
    </w:p>
    <w:p w:rsidR="0E5445A0" w:rsidP="0E5445A0" w:rsidRDefault="0E5445A0" w14:paraId="31DB0687" w14:textId="3999C945">
      <w:pPr>
        <w:pStyle w:val="Normal"/>
        <w:widowControl w:val="0"/>
        <w:ind w:left="360" w:firstLine="72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則需要由營業代理人向該管稽徵機關申報並繳稅。</w:t>
      </w:r>
    </w:p>
    <w:p w:rsidR="0E5445A0" w:rsidP="0E5445A0" w:rsidRDefault="0E5445A0" w14:paraId="53183557" w14:textId="7CC62A1B">
      <w:pPr>
        <w:pStyle w:val="ListParagraph"/>
        <w:widowControl w:val="0"/>
        <w:numPr>
          <w:ilvl w:val="0"/>
          <w:numId w:val="17"/>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不符合上述</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(第</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2)點</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條件時，則要判斷其台灣地區來源所得是否屬於扣繳範圍內。</w:t>
      </w:r>
    </w:p>
    <w:p w:rsidR="0E5445A0" w:rsidP="0E5445A0" w:rsidRDefault="0E5445A0" w14:paraId="1A952FBF" w14:textId="48EC798A">
      <w:pPr>
        <w:pStyle w:val="ListParagraph"/>
        <w:widowControl w:val="0"/>
        <w:numPr>
          <w:ilvl w:val="0"/>
          <w:numId w:val="19"/>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屬於扣繳範圍內：</w:t>
      </w:r>
    </w:p>
    <w:p w:rsidR="0E5445A0" w:rsidP="0E5445A0" w:rsidRDefault="0E5445A0" w14:paraId="38699723" w14:textId="52BD297E">
      <w:pPr>
        <w:pStyle w:val="Normal"/>
        <w:widowControl w:val="0"/>
        <w:ind w:left="360" w:firstLine="72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則其應納稅額應該由扣繳義務人於給付其應納稅額時按照非中華民國境內居住者之個人及在中華民國境內無固定營業場所之營利事業規定之扣繳率當成其扣繳率扣繳，而且不需要辦理申報並結算。</w:t>
      </w:r>
    </w:p>
    <w:p w:rsidR="0E5445A0" w:rsidP="0E5445A0" w:rsidRDefault="0E5445A0" w14:paraId="04FEAC54" w14:textId="377CA249">
      <w:pPr>
        <w:pStyle w:val="ListParagraph"/>
        <w:widowControl w:val="0"/>
        <w:numPr>
          <w:ilvl w:val="0"/>
          <w:numId w:val="19"/>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不屬於扣繳範圍內：</w:t>
      </w:r>
    </w:p>
    <w:p w:rsidR="0E5445A0" w:rsidP="0E5445A0" w:rsidRDefault="0E5445A0" w14:paraId="5EA97F05" w14:textId="3381795E">
      <w:pPr>
        <w:pStyle w:val="Normal"/>
        <w:widowControl w:val="0"/>
        <w:ind w:left="720" w:firstLine="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則應該由納稅義務人依稅法規定之稅率申報並繳納之。如果納稅義務人無法自行申報，應委託台灣地區之人民或在台灣地區的固定營業場所(</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如果有</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之營業代理人</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負責代理處理之。</w:t>
      </w:r>
    </w:p>
    <w:p w:rsidR="0E5445A0" w:rsidP="0E5445A0" w:rsidRDefault="0E5445A0" w14:paraId="6E52E3A5" w14:textId="096054E6">
      <w:pPr>
        <w:pStyle w:val="ListParagraph"/>
        <w:widowControl w:val="0"/>
        <w:numPr>
          <w:ilvl w:val="0"/>
          <w:numId w:val="17"/>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若納稅義務人為大陸地區之人民但不符合大陸地區之居住者，則應該適用上述(第</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3)點</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判斷之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7D8B14C6" w14:textId="4080EC36">
      <w:pPr>
        <w:pStyle w:val="ListParagraph"/>
        <w:widowControl w:val="0"/>
        <w:numPr>
          <w:ilvl w:val="0"/>
          <w:numId w:val="17"/>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若大陸地區之法人、團體或其他機構且無固定營業場所，則應該適用上述</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(第</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3)點</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判斷之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6E2C0752" w14:textId="24BF1FE7">
      <w:pPr>
        <w:pStyle w:val="ListParagraph"/>
        <w:widowControl w:val="0"/>
        <w:numPr>
          <w:ilvl w:val="0"/>
          <w:numId w:val="17"/>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若大陸地區之法人、團體或其他機構且無營業代理人，則應該適用上述(第</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3)點</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判斷之</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659E447F" w14:textId="0F4C7E41">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74CC6402" w14:textId="3E1D78A8">
      <w:pPr>
        <w:pStyle w:val="Normal"/>
        <w:widowControl w:val="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排除事項：</w:t>
      </w:r>
    </w:p>
    <w:p w:rsidR="0E5445A0" w:rsidP="0E5445A0" w:rsidRDefault="0E5445A0" w14:paraId="3F2B56A1" w14:textId="6E06D7BA">
      <w:pPr>
        <w:pStyle w:val="ListParagraph"/>
        <w:widowControl w:val="0"/>
        <w:numPr>
          <w:ilvl w:val="0"/>
          <w:numId w:val="2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針對適用上述第</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3)</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點判斷者</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，若符合</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下列所有條件</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79B0EE34" w14:textId="081EF906">
      <w:pPr>
        <w:pStyle w:val="ListParagraph"/>
        <w:widowControl w:val="0"/>
        <w:numPr>
          <w:ilvl w:val="0"/>
          <w:numId w:val="20"/>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依所得稅法第73條規定申請在台灣地區投資之法人、團體或其他機構。</w:t>
      </w:r>
    </w:p>
    <w:p w:rsidR="0E5445A0" w:rsidP="0E5445A0" w:rsidRDefault="0E5445A0" w14:paraId="3983E01C" w14:textId="47552A25">
      <w:pPr>
        <w:pStyle w:val="ListParagraph"/>
        <w:widowControl w:val="0"/>
        <w:numPr>
          <w:ilvl w:val="0"/>
          <w:numId w:val="20"/>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且被許可</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51AC31AF" w14:textId="58A2A9D2">
      <w:pPr>
        <w:pStyle w:val="ListParagraph"/>
        <w:widowControl w:val="0"/>
        <w:numPr>
          <w:ilvl w:val="0"/>
          <w:numId w:val="20"/>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其董事、經理人或所派之技術人員因辦理投資、建廠或從事臨時性工作</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如：臨時出差或市場調查等</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)且符合台灣地區居住條件(也就是，在台灣地區居留累積滿183</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天)。</w:t>
      </w:r>
    </w:p>
    <w:p w:rsidR="0E5445A0" w:rsidP="0E5445A0" w:rsidRDefault="0E5445A0" w14:paraId="70FD2D43" w14:textId="59997C68">
      <w:pPr>
        <w:pStyle w:val="Normal"/>
        <w:widowControl w:val="0"/>
        <w:ind w:left="0" w:firstLine="72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其不屬於台灣地區之薪資所得</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(有關薪資所得的定義，詳見所得稅法第14</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條)，</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則不應該被視為台灣地區之來源所得，所以不適用台灣地區之課稅之相關規範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7D64C12E" w14:textId="0ADF665D">
      <w:pPr>
        <w:pStyle w:val="ListParagraph"/>
        <w:widowControl w:val="0"/>
        <w:numPr>
          <w:ilvl w:val="0"/>
          <w:numId w:val="2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針對適用上述第3)點判斷者，若符合下列所有條件：</w:t>
      </w:r>
    </w:p>
    <w:p w:rsidR="0E5445A0" w:rsidP="0E5445A0" w:rsidRDefault="0E5445A0" w14:paraId="54134448" w14:textId="20303B99">
      <w:pPr>
        <w:pStyle w:val="ListParagraph"/>
        <w:widowControl w:val="0"/>
        <w:numPr>
          <w:ilvl w:val="0"/>
          <w:numId w:val="2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在大陸地區投資之法人、團體、其他機構。</w:t>
      </w:r>
    </w:p>
    <w:p w:rsidR="0E5445A0" w:rsidP="0E5445A0" w:rsidRDefault="0E5445A0" w14:paraId="412C5CB0" w14:textId="779E5279">
      <w:pPr>
        <w:pStyle w:val="ListParagraph"/>
        <w:widowControl w:val="0"/>
        <w:numPr>
          <w:ilvl w:val="0"/>
          <w:numId w:val="2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依所得稅法規定在台灣地區投資。</w:t>
      </w:r>
    </w:p>
    <w:p w:rsidR="0E5445A0" w:rsidP="0E5445A0" w:rsidRDefault="0E5445A0" w14:paraId="124B467E" w14:textId="4494A803">
      <w:pPr>
        <w:pStyle w:val="ListParagraph"/>
        <w:widowControl w:val="0"/>
        <w:numPr>
          <w:ilvl w:val="0"/>
          <w:numId w:val="23"/>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且前項之投資被許可</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584888A2" w14:textId="3A5AFA2F">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若扣繳義務人應該針對下列應納稅額</w:t>
      </w:r>
    </w:p>
    <w:p w:rsidR="0E5445A0" w:rsidP="0E5445A0" w:rsidRDefault="0E5445A0" w14:paraId="4A942659" w14:textId="75B4EA66">
      <w:pPr>
        <w:pStyle w:val="ListParagraph"/>
        <w:widowControl w:val="0"/>
        <w:numPr>
          <w:ilvl w:val="0"/>
          <w:numId w:val="24"/>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其取得台灣地區之公司之因分配股利而衍生出應納稅額或因</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其合夥人分配盈餘所衍生出應納稅額</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2EEE464A" w14:textId="13552A5A">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按照21個百分比當成扣繳率繳納之。</w:t>
      </w:r>
    </w:p>
    <w:p w:rsidR="0E5445A0" w:rsidP="0E5445A0" w:rsidRDefault="0E5445A0" w14:paraId="56946F61" w14:textId="1B735534">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備註：</w:t>
      </w:r>
    </w:p>
    <w:p w:rsidR="0E5445A0" w:rsidP="0E5445A0" w:rsidRDefault="0E5445A0" w14:paraId="62C8CEF4" w14:textId="4E684F22">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在此情況，不適用結算申報之相關規範。</w:t>
      </w:r>
    </w:p>
    <w:p w:rsidR="0E5445A0" w:rsidP="0E5445A0" w:rsidRDefault="0E5445A0" w14:paraId="0F3357F7" w14:textId="4645ECD2">
      <w:pPr>
        <w:pStyle w:val="Normal"/>
        <w:widowControl w:val="0"/>
        <w:ind w:left="36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但根據兩岸條例第25條和25-1條規定，若大陸地區之人民於課稅年度內符合台灣地區居留條件，則應該適用上述 ( 情況二之1) ) </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的相關規範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357C45FD" w14:textId="3DDB0269">
      <w:pPr>
        <w:pStyle w:val="ListParagraph"/>
        <w:widowControl w:val="0"/>
        <w:numPr>
          <w:ilvl w:val="0"/>
          <w:numId w:val="2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針對符合前項條件且投資於第三地區投資之公司，也應適用前項條件(情況二之排除事項之第2.點)</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之相關規範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4D0B062B" w14:textId="5B4F5BD1">
      <w:pPr>
        <w:pStyle w:val="ListParagraph"/>
        <w:widowControl w:val="0"/>
        <w:numPr>
          <w:ilvl w:val="0"/>
          <w:numId w:val="21"/>
        </w:numPr>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根據港澳條例第41-1條，針對符合前項條件且投資於對香港或澳門之公司，</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也應適用前項條件(</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情況二之排除事項之第2.點)</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之相關規範</w:t>
      </w: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E5445A0" w:rsidP="0E5445A0" w:rsidRDefault="0E5445A0" w14:paraId="517AFF82" w14:textId="4DAABCEE">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0E5445A0" w:rsidP="0E5445A0" w:rsidRDefault="0E5445A0" w14:paraId="41112071" w14:textId="12ADCC0D">
      <w:pPr>
        <w:pStyle w:val="Normal"/>
        <w:widowControl w:val="0"/>
        <w:ind w:left="0"/>
        <w:jc w:val="left"/>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0E5445A0" w:rsidR="0E5445A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情況三：</w:t>
      </w:r>
    </w:p>
    <w:p w:rsidR="0E5445A0" w:rsidP="0E5445A0" w:rsidRDefault="0E5445A0" w14:paraId="132D24D3" w14:textId="2545F1EF">
      <w:pPr>
        <w:pStyle w:val="ListParagraph"/>
        <w:widowControl w:val="0"/>
        <w:numPr>
          <w:ilvl w:val="0"/>
          <w:numId w:val="26"/>
        </w:numPr>
        <w:rPr>
          <w:noProof w:val="0"/>
          <w:lang w:val="en-US"/>
        </w:rPr>
      </w:pPr>
      <w:r w:rsidRPr="0E5445A0" w:rsidR="0E5445A0">
        <w:rPr>
          <w:noProof w:val="0"/>
          <w:lang w:val="en-US"/>
        </w:rPr>
        <w:t>對於香港、澳門地區之人民、法人或團體在回歸大陸之前，其所得被視為國外地區之來源所得，所以應該適用非中華民國境內之相關規範課稅</w:t>
      </w:r>
      <w:r w:rsidRPr="0E5445A0" w:rsidR="0E5445A0">
        <w:rPr>
          <w:noProof w:val="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KRJyNzVbqvnnY" int2:id="z85pbRyJ">
      <int2:state int2:type="AugLoop_Text_Critique" int2:value="Rejected"/>
    </int2:textHash>
    <int2:textHash int2:hashCode="tdS75eaKoDw43L" int2:id="XTxrChJs">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6">
    <w:nsid w:val="45b57d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06504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1f6646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6d3156c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5f123d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4b81b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2a7a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4ffc0ca5"/>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76ae1d3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04570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df204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e2614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e2bc954"/>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7b21b7a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70707a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5c64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c2906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13964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2a4e1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9cb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5cd66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8c6a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fc2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34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92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fef3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E5B7A0"/>
    <w:rsid w:val="0E5445A0"/>
    <w:rsid w:val="2FE5B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7A0"/>
  <w15:chartTrackingRefBased/>
  <w15:docId w15:val="{0AB6CE53-9E43-4698-BCD2-A31138958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3-3" TargetMode="External" Id="Rec7216d260924250" /><Relationship Type="http://schemas.openxmlformats.org/officeDocument/2006/relationships/hyperlink" Target="https://law.moj.gov.tw/LawClass/LawSingle.aspx?pcode=G0340003&amp;flno=73" TargetMode="External" Id="R1fe9898226314560" /><Relationship Type="http://schemas.microsoft.com/office/2020/10/relationships/intelligence" Target="intelligence2.xml" Id="R5713b5abb2ef431c" /><Relationship Type="http://schemas.openxmlformats.org/officeDocument/2006/relationships/numbering" Target="numbering.xml" Id="R66a2267653e445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2024-04-06T07:38:56.1375475Z</dcterms:created>
  <dcterms:modified xsi:type="dcterms:W3CDTF">2024-04-06T11:44:19.0896305Z</dcterms:modified>
  <dc:creator>奕捷 黃</dc:creator>
  <lastModifiedBy>奕捷 黃</lastModifiedBy>
</coreProperties>
</file>