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3C5120" wp14:paraId="77B0E10B" wp14:textId="3D2E74BA">
      <w:pPr>
        <w:widowControl w:val="0"/>
        <w:jc w:val="center"/>
        <w:rPr>
          <w:rFonts w:ascii="Calibri" w:hAnsi="Calibri" w:eastAsia="Calibri" w:cs="Calibri"/>
          <w:b w:val="0"/>
          <w:bCs w:val="0"/>
          <w:i w:val="0"/>
          <w:iCs w:val="0"/>
          <w:caps w:val="0"/>
          <w:smallCaps w:val="0"/>
          <w:noProof w:val="0"/>
          <w:color w:val="000000" w:themeColor="text1" w:themeTint="FF" w:themeShade="FF"/>
          <w:sz w:val="72"/>
          <w:szCs w:val="72"/>
          <w:lang w:val="en-US"/>
        </w:rPr>
      </w:pPr>
      <w:r w:rsidRPr="313C5120" w:rsidR="313C5120">
        <w:rPr>
          <w:rFonts w:ascii="Calibri" w:hAnsi="Calibri" w:eastAsia="Calibri" w:cs="Calibri"/>
          <w:b w:val="0"/>
          <w:bCs w:val="0"/>
          <w:i w:val="0"/>
          <w:iCs w:val="0"/>
          <w:caps w:val="0"/>
          <w:smallCaps w:val="0"/>
          <w:noProof w:val="0"/>
          <w:color w:val="000000" w:themeColor="text1" w:themeTint="FF" w:themeShade="FF"/>
          <w:sz w:val="72"/>
          <w:szCs w:val="72"/>
          <w:lang w:val="en-US"/>
        </w:rPr>
        <w:t>營利事業所得稅</w:t>
      </w:r>
      <w:r w:rsidRPr="313C5120" w:rsidR="313C5120">
        <w:rPr>
          <w:rFonts w:ascii="Calibri" w:hAnsi="Calibri" w:eastAsia="Calibri" w:cs="Calibri"/>
          <w:b w:val="0"/>
          <w:bCs w:val="0"/>
          <w:i w:val="0"/>
          <w:iCs w:val="0"/>
          <w:caps w:val="0"/>
          <w:smallCaps w:val="0"/>
          <w:noProof w:val="0"/>
          <w:color w:val="000000" w:themeColor="text1" w:themeTint="FF" w:themeShade="FF"/>
          <w:sz w:val="72"/>
          <w:szCs w:val="72"/>
          <w:lang w:val="en-US"/>
        </w:rPr>
        <w:t>--實際管理處所原則</w:t>
      </w:r>
    </w:p>
    <w:p xmlns:wp14="http://schemas.microsoft.com/office/word/2010/wordml" w:rsidP="313C5120" wp14:paraId="33C2978A" wp14:textId="433D1720">
      <w:pPr>
        <w:pStyle w:val="Normal"/>
        <w:rPr>
          <w:sz w:val="52"/>
          <w:szCs w:val="52"/>
        </w:rPr>
      </w:pPr>
      <w:r w:rsidRPr="313C5120" w:rsidR="313C5120">
        <w:rPr>
          <w:sz w:val="52"/>
          <w:szCs w:val="52"/>
        </w:rPr>
        <w:t>法條</w:t>
      </w:r>
    </w:p>
    <w:p xmlns:wp14="http://schemas.microsoft.com/office/word/2010/wordml" w:rsidP="313C5120" wp14:paraId="7D993771" wp14:textId="3C2A0BC2">
      <w:pPr>
        <w:pStyle w:val="Normal"/>
        <w:rPr/>
      </w:pPr>
      <w:r w:rsidR="313C5120">
        <w:rPr/>
        <w:t>法條</w:t>
      </w:r>
      <w:r w:rsidR="313C5120">
        <w:rPr/>
        <w:t>：</w:t>
      </w:r>
    </w:p>
    <w:p w:rsidR="313C5120" w:rsidP="313C5120" w:rsidRDefault="313C5120" w14:paraId="632B16E0" w14:textId="5548D2EA">
      <w:pPr>
        <w:pStyle w:val="ListParagraph"/>
        <w:numPr>
          <w:ilvl w:val="0"/>
          <w:numId w:val="1"/>
        </w:numPr>
        <w:rPr/>
      </w:pPr>
      <w:r w:rsidR="313C5120">
        <w:rPr/>
        <w:t>所得稅法第43-3條。</w:t>
      </w:r>
    </w:p>
    <w:p w:rsidR="313C5120" w:rsidP="313C5120" w:rsidRDefault="313C5120" w14:paraId="56F9862E" w14:textId="7F8CBAF9">
      <w:pPr>
        <w:pStyle w:val="Normal"/>
        <w:ind w:left="0"/>
        <w:rPr/>
      </w:pPr>
    </w:p>
    <w:p w:rsidR="313C5120" w:rsidP="313C5120" w:rsidRDefault="313C5120" w14:paraId="5F0A8D53" w14:textId="4097ED4B">
      <w:pPr>
        <w:pStyle w:val="Normal"/>
        <w:ind w:left="0"/>
        <w:rPr/>
      </w:pPr>
      <w:r w:rsidR="313C5120">
        <w:rPr/>
        <w:t>法條內容：</w:t>
      </w:r>
    </w:p>
    <w:p w:rsidR="313C5120" w:rsidP="313C5120" w:rsidRDefault="313C5120" w14:paraId="1266CBF4" w14:textId="2261BF1F">
      <w:pPr>
        <w:pStyle w:val="Normal"/>
        <w:rPr/>
      </w:pPr>
      <w:hyperlink r:id="R981a0d17aed44737">
        <w:r w:rsidRPr="313C5120" w:rsidR="313C5120">
          <w:rPr>
            <w:rStyle w:val="Hyperlink"/>
            <w:noProof w:val="0"/>
            <w:lang w:val="en-US"/>
          </w:rPr>
          <w:t>第 43-3 條</w:t>
        </w:r>
      </w:hyperlink>
    </w:p>
    <w:p w:rsidR="313C5120" w:rsidP="313C5120" w:rsidRDefault="313C5120" w14:paraId="7B2BB10A" w14:textId="38EAA589">
      <w:pPr>
        <w:pStyle w:val="Normal"/>
        <w:rPr>
          <w:noProof w:val="0"/>
          <w:lang w:val="en-US"/>
        </w:rPr>
      </w:pPr>
      <w:r w:rsidRPr="313C5120" w:rsidR="313C5120">
        <w:rPr>
          <w:noProof w:val="0"/>
          <w:lang w:val="en-US"/>
        </w:rPr>
        <w:t>營利事業及其關係人直接或間接持有在中華民國境外低稅負國家或地區之關係企業股份或資本額合計達百分之五十以上或對該關係企業具有重大影響力者，除符合下列各款規定之一者外，營利事業應將該關係企業當年度之盈餘，按其持有該關係企業股份或資本額之比率及持有期間計算，認列投資收益，計入當年度所得額課稅：</w:t>
      </w:r>
    </w:p>
    <w:p w:rsidR="313C5120" w:rsidP="313C5120" w:rsidRDefault="313C5120" w14:paraId="7AF1C5A1" w14:textId="2EB1024A">
      <w:pPr>
        <w:pStyle w:val="Normal"/>
        <w:rPr>
          <w:noProof w:val="0"/>
          <w:lang w:val="en-US"/>
        </w:rPr>
      </w:pPr>
      <w:r w:rsidRPr="313C5120" w:rsidR="313C5120">
        <w:rPr>
          <w:noProof w:val="0"/>
          <w:lang w:val="en-US"/>
        </w:rPr>
        <w:t>一、關係企業於所在國家或地區有實質營運活動</w:t>
      </w:r>
      <w:r w:rsidRPr="313C5120" w:rsidR="313C5120">
        <w:rPr>
          <w:noProof w:val="0"/>
          <w:lang w:val="en-US"/>
        </w:rPr>
        <w:t>。</w:t>
      </w:r>
    </w:p>
    <w:p w:rsidR="313C5120" w:rsidP="313C5120" w:rsidRDefault="313C5120" w14:paraId="21667ADE" w14:textId="5BCAF596">
      <w:pPr>
        <w:pStyle w:val="Normal"/>
        <w:rPr>
          <w:noProof w:val="0"/>
          <w:lang w:val="en-US"/>
        </w:rPr>
      </w:pPr>
      <w:r w:rsidRPr="313C5120" w:rsidR="313C5120">
        <w:rPr>
          <w:noProof w:val="0"/>
          <w:lang w:val="en-US"/>
        </w:rPr>
        <w:t>二、關係企業當年度盈餘在一定基準以下。但各關係企業當年度盈餘合計數逾一定基準者，仍應計入當年度所得額課稅</w:t>
      </w:r>
      <w:r w:rsidRPr="313C5120" w:rsidR="313C5120">
        <w:rPr>
          <w:noProof w:val="0"/>
          <w:lang w:val="en-US"/>
        </w:rPr>
        <w:t>。</w:t>
      </w:r>
    </w:p>
    <w:p w:rsidR="313C5120" w:rsidP="313C5120" w:rsidRDefault="313C5120" w14:paraId="581DE60B" w14:textId="56701343">
      <w:pPr>
        <w:pStyle w:val="Normal"/>
        <w:rPr>
          <w:noProof w:val="0"/>
          <w:lang w:val="en-US"/>
        </w:rPr>
      </w:pPr>
      <w:r w:rsidRPr="313C5120" w:rsidR="313C5120">
        <w:rPr>
          <w:noProof w:val="0"/>
          <w:lang w:val="en-US"/>
        </w:rPr>
        <w:t>前項所稱低稅負國家或地區，指關係企業所在國家或地區，其營利事業所得稅或實質類似租稅之稅率未逾第五條第五項第二款所定稅率之百分之七十或僅對其境內來源所得課稅者。</w:t>
      </w:r>
    </w:p>
    <w:p w:rsidR="313C5120" w:rsidP="313C5120" w:rsidRDefault="313C5120" w14:paraId="3D255238" w14:textId="55839D07">
      <w:pPr>
        <w:pStyle w:val="Normal"/>
        <w:rPr>
          <w:noProof w:val="0"/>
          <w:lang w:val="en-US"/>
        </w:rPr>
      </w:pPr>
      <w:r w:rsidRPr="313C5120" w:rsidR="313C5120">
        <w:rPr>
          <w:noProof w:val="0"/>
          <w:lang w:val="en-US"/>
        </w:rPr>
        <w:t>關係企業自符合第一項規定之當年度起，其各期虧損經所在國家或地區或中華民國合格會計師查核簽證，並由營利事業依規定格式填報及經所在地稽徵機關核定者，得於虧損發生年度之次年度起十年內自該關係企業盈餘中扣除，依第一項規定計算該營利事業投資收益。</w:t>
      </w:r>
    </w:p>
    <w:p w:rsidR="313C5120" w:rsidP="313C5120" w:rsidRDefault="313C5120" w14:paraId="21E58BEB" w14:textId="6080904C">
      <w:pPr>
        <w:pStyle w:val="Normal"/>
        <w:rPr>
          <w:noProof w:val="0"/>
          <w:lang w:val="en-US"/>
        </w:rPr>
      </w:pPr>
      <w:r w:rsidRPr="313C5120" w:rsidR="313C5120">
        <w:rPr>
          <w:noProof w:val="0"/>
          <w:lang w:val="en-US"/>
        </w:rPr>
        <w:t>營利事業於實際獲配該關係企業股利或盈餘時，在已依第一項規定認列投資收益範圍內，不計入所得額課稅；超過已認列投資收益部分，應於獲配年度計入所得額課稅。其獲配股利或盈餘已依所得來源地稅法規定繳納之所得稅，於認列投資收益年度申報期間屆滿之翌日起五年內，得由納稅義務人提出所得來源地稅務機關發給之納稅憑證，並取得所在地中華民國駐外機構或其他經中華民國政府認許機構之驗證後，自各該認列投資收益年度結算應納稅額中扣抵；扣抵之數，不得超過因加計該投資收益，而依國內適用稅率計算增加之結算應納稅額。</w:t>
      </w:r>
    </w:p>
    <w:p w:rsidR="313C5120" w:rsidP="313C5120" w:rsidRDefault="313C5120" w14:paraId="50DA0AC7" w14:textId="1D97713D">
      <w:pPr>
        <w:pStyle w:val="Normal"/>
        <w:rPr>
          <w:noProof w:val="0"/>
          <w:lang w:val="en-US"/>
        </w:rPr>
      </w:pPr>
      <w:r w:rsidRPr="313C5120" w:rsidR="313C5120">
        <w:rPr>
          <w:noProof w:val="0"/>
          <w:lang w:val="en-US"/>
        </w:rPr>
        <w:t>前四項之關係人及關係企業、具有重大影響力、認列投資收益、實質營運活動、當年度盈餘之一定基準、虧損扣抵、國外稅額扣抵之範圍與相關計算方法、應提示文據及其他相關事項之辦法，由財政部定之。</w:t>
      </w:r>
    </w:p>
    <w:p w:rsidR="313C5120" w:rsidP="313C5120" w:rsidRDefault="313C5120" w14:paraId="65B20B06" w14:textId="179CEE64">
      <w:pPr>
        <w:pStyle w:val="Normal"/>
        <w:rPr>
          <w:noProof w:val="0"/>
          <w:lang w:val="en-US"/>
        </w:rPr>
      </w:pPr>
      <w:r w:rsidRPr="313C5120" w:rsidR="313C5120">
        <w:rPr>
          <w:noProof w:val="0"/>
          <w:lang w:val="en-US"/>
        </w:rPr>
        <w:t>第一項之關係企業當年度適用第四十三條之四規定者，不適用前五項規定</w:t>
      </w:r>
      <w:r w:rsidRPr="313C5120" w:rsidR="313C5120">
        <w:rPr>
          <w:noProof w:val="0"/>
          <w:lang w:val="en-US"/>
        </w:rPr>
        <w:t>。</w:t>
      </w:r>
    </w:p>
    <w:p w:rsidR="313C5120" w:rsidP="313C5120" w:rsidRDefault="313C5120" w14:paraId="257A80B9" w14:textId="33A39D64">
      <w:pPr>
        <w:pStyle w:val="Normal"/>
        <w:ind w:left="0"/>
        <w:rPr/>
      </w:pPr>
    </w:p>
    <w:p w:rsidR="313C5120" w:rsidP="313C5120" w:rsidRDefault="313C5120" w14:paraId="36295126" w14:textId="5A745DB0">
      <w:pPr>
        <w:pStyle w:val="ListParagraph"/>
        <w:numPr>
          <w:ilvl w:val="0"/>
          <w:numId w:val="1"/>
        </w:numPr>
        <w:rPr/>
      </w:pPr>
    </w:p>
    <w:p w:rsidR="313C5120" w:rsidP="313C5120" w:rsidRDefault="313C5120" w14:paraId="64DB3A8B" w14:textId="1CD7BFEE">
      <w:pPr>
        <w:pStyle w:val="Normal"/>
        <w:ind w:left="0"/>
        <w:rPr/>
      </w:pPr>
      <w:r w:rsidR="313C5120">
        <w:rPr/>
        <w:t>所得稅法第43-4條。</w:t>
      </w:r>
    </w:p>
    <w:p w:rsidR="313C5120" w:rsidP="313C5120" w:rsidRDefault="313C5120" w14:paraId="659316B1" w14:textId="5C038944">
      <w:pPr>
        <w:pStyle w:val="Normal"/>
        <w:ind w:left="0"/>
        <w:rPr/>
      </w:pPr>
    </w:p>
    <w:p w:rsidR="313C5120" w:rsidP="313C5120" w:rsidRDefault="313C5120" w14:paraId="1F4FF916" w14:textId="74A33F55">
      <w:pPr>
        <w:pStyle w:val="Normal"/>
        <w:rPr/>
      </w:pPr>
      <w:r w:rsidR="313C5120">
        <w:rPr/>
        <w:t>法條內容</w:t>
      </w:r>
      <w:r w:rsidR="313C5120">
        <w:rPr/>
        <w:t>：</w:t>
      </w:r>
    </w:p>
    <w:p w:rsidR="313C5120" w:rsidP="313C5120" w:rsidRDefault="313C5120" w14:paraId="38F4DAF8" w14:textId="4772C8B6">
      <w:pPr>
        <w:pStyle w:val="Normal"/>
        <w:rPr/>
      </w:pPr>
      <w:hyperlink r:id="R33592e74c1a7448a">
        <w:r w:rsidRPr="313C5120" w:rsidR="313C5120">
          <w:rPr>
            <w:rStyle w:val="Hyperlink"/>
            <w:noProof w:val="0"/>
            <w:lang w:val="en-US"/>
          </w:rPr>
          <w:t>第 43-4 條</w:t>
        </w:r>
      </w:hyperlink>
    </w:p>
    <w:p w:rsidR="313C5120" w:rsidP="313C5120" w:rsidRDefault="313C5120" w14:paraId="62D718CE" w14:textId="28F65393">
      <w:pPr>
        <w:pStyle w:val="Normal"/>
        <w:rPr>
          <w:noProof w:val="0"/>
          <w:lang w:val="en-US"/>
        </w:rPr>
      </w:pPr>
      <w:r w:rsidRPr="313C5120" w:rsidR="313C5120">
        <w:rPr>
          <w:noProof w:val="0"/>
          <w:lang w:val="en-US"/>
        </w:rPr>
        <w:t>依外國法律設立，實際管理處所在中華民國境內之營利事業，應視為總機構在中華民國境內之營利事業，依本法及其他相關法律規定課徵營利事業所得稅；有違反時，並適用本法及其他相關法律規定。</w:t>
      </w:r>
    </w:p>
    <w:p w:rsidR="313C5120" w:rsidP="313C5120" w:rsidRDefault="313C5120" w14:paraId="048F5FC0" w14:textId="613059CB">
      <w:pPr>
        <w:pStyle w:val="Normal"/>
        <w:rPr>
          <w:noProof w:val="0"/>
          <w:lang w:val="en-US"/>
        </w:rPr>
      </w:pPr>
      <w:r w:rsidRPr="313C5120" w:rsidR="313C5120">
        <w:rPr>
          <w:noProof w:val="0"/>
          <w:lang w:val="en-US"/>
        </w:rPr>
        <w:t>依前項規定課徵營利事業所得稅之營利事業，其給付之各類所得應比照依中華民國法規成立之營利事業，依第八條各款規定認定中華民國來源所得，並依本法及其他相關法律規定辦理扣繳與填具扣（免）繳憑單、股利憑單及相關憑單；有違反時，並適用本法及其他相關法律規定。但該營利事業分配非屬依第一項規定課徵營利事業所得稅年度之盈餘，非屬第八條規定之中華民國來源所得。</w:t>
      </w:r>
    </w:p>
    <w:p w:rsidR="313C5120" w:rsidP="313C5120" w:rsidRDefault="313C5120" w14:paraId="488E8A69" w14:textId="2F47918F">
      <w:pPr>
        <w:pStyle w:val="Normal"/>
        <w:rPr>
          <w:noProof w:val="0"/>
          <w:lang w:val="en-US"/>
        </w:rPr>
      </w:pPr>
      <w:r w:rsidRPr="313C5120" w:rsidR="313C5120">
        <w:rPr>
          <w:noProof w:val="0"/>
          <w:lang w:val="en-US"/>
        </w:rPr>
        <w:t>第一項所稱實際管理處所在中華民國境內之營利事業，指營利事業符合下列各款規定者</w:t>
      </w:r>
      <w:r w:rsidRPr="313C5120" w:rsidR="313C5120">
        <w:rPr>
          <w:noProof w:val="0"/>
          <w:lang w:val="en-US"/>
        </w:rPr>
        <w:t>：</w:t>
      </w:r>
    </w:p>
    <w:p w:rsidR="313C5120" w:rsidP="313C5120" w:rsidRDefault="313C5120" w14:paraId="27414D23" w14:textId="5E238004">
      <w:pPr>
        <w:pStyle w:val="Normal"/>
        <w:rPr>
          <w:noProof w:val="0"/>
          <w:lang w:val="en-US"/>
        </w:rPr>
      </w:pPr>
      <w:r w:rsidRPr="313C5120" w:rsidR="313C5120">
        <w:rPr>
          <w:noProof w:val="0"/>
          <w:lang w:val="en-US"/>
        </w:rPr>
        <w:t>一、作成重大經營管理、財務管理及人事管理決策者為中華民國境內居住之個人或總機構在中華民國境內之營利事業，或作成該等決策之處所在中華民國境內。</w:t>
      </w:r>
    </w:p>
    <w:p w:rsidR="313C5120" w:rsidP="313C5120" w:rsidRDefault="313C5120" w14:paraId="0F640D3E" w14:textId="59A20D4D">
      <w:pPr>
        <w:pStyle w:val="Normal"/>
        <w:rPr>
          <w:noProof w:val="0"/>
          <w:lang w:val="en-US"/>
        </w:rPr>
      </w:pPr>
      <w:r w:rsidRPr="313C5120" w:rsidR="313C5120">
        <w:rPr>
          <w:noProof w:val="0"/>
          <w:lang w:val="en-US"/>
        </w:rPr>
        <w:t>二、財務報表、會計帳簿紀錄、董事會議事錄或股東會議事錄之製作或儲存處所在中華民國境內</w:t>
      </w:r>
      <w:r w:rsidRPr="313C5120" w:rsidR="313C5120">
        <w:rPr>
          <w:noProof w:val="0"/>
          <w:lang w:val="en-US"/>
        </w:rPr>
        <w:t>。</w:t>
      </w:r>
    </w:p>
    <w:p w:rsidR="313C5120" w:rsidP="313C5120" w:rsidRDefault="313C5120" w14:paraId="19A0B84D" w14:textId="7E6B9B66">
      <w:pPr>
        <w:pStyle w:val="Normal"/>
        <w:rPr>
          <w:noProof w:val="0"/>
          <w:lang w:val="en-US"/>
        </w:rPr>
      </w:pPr>
      <w:r w:rsidRPr="313C5120" w:rsidR="313C5120">
        <w:rPr>
          <w:noProof w:val="0"/>
          <w:lang w:val="en-US"/>
        </w:rPr>
        <w:t>三、在中華民國境內有實際執行主要經營活動</w:t>
      </w:r>
      <w:r w:rsidRPr="313C5120" w:rsidR="313C5120">
        <w:rPr>
          <w:noProof w:val="0"/>
          <w:lang w:val="en-US"/>
        </w:rPr>
        <w:t>。</w:t>
      </w:r>
    </w:p>
    <w:p w:rsidR="313C5120" w:rsidRDefault="313C5120" w14:paraId="603EA730" w14:textId="0A0B1208">
      <w:pPr>
        <w:rPr/>
      </w:pPr>
      <w:r w:rsidRPr="313C5120" w:rsidR="313C5120">
        <w:rPr>
          <w:noProof w:val="0"/>
          <w:lang w:val="en-US"/>
        </w:rPr>
        <w:t>前三項依本法及其他相關法律規定課徵所得稅、辦理扣繳與填發憑單之方式、實際管理處所之認定要件及程序、證明文件及其他相關事項之辦法，由財政部定之</w:t>
      </w:r>
      <w:r w:rsidRPr="313C5120" w:rsidR="313C5120">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313C5120" w:rsidP="313C5120" w:rsidRDefault="313C5120" w14:paraId="6D917E9A" w14:textId="394BFCC9">
      <w:pPr>
        <w:pStyle w:val="Normal"/>
        <w:rPr/>
      </w:pPr>
    </w:p>
    <w:p w:rsidR="313C5120" w:rsidP="313C5120" w:rsidRDefault="313C5120" w14:paraId="3F9605F2" w14:textId="221364D7">
      <w:pPr>
        <w:pStyle w:val="Normal"/>
        <w:rPr>
          <w:sz w:val="52"/>
          <w:szCs w:val="52"/>
        </w:rPr>
      </w:pPr>
      <w:r w:rsidRPr="313C5120" w:rsidR="313C5120">
        <w:rPr>
          <w:sz w:val="52"/>
          <w:szCs w:val="52"/>
        </w:rPr>
        <w:t>其他部分</w:t>
      </w:r>
    </w:p>
    <w:p w:rsidR="313C5120" w:rsidP="313C5120" w:rsidRDefault="313C5120" w14:paraId="3EFA566B" w14:textId="364BE363">
      <w:pPr>
        <w:pStyle w:val="Normal"/>
        <w:rPr/>
      </w:pPr>
      <w:r w:rsidR="313C5120">
        <w:rPr/>
        <w:t>因課本有很詳細說明，所以這裡不多做說明。</w:t>
      </w:r>
    </w:p>
    <w:p w:rsidR="313C5120" w:rsidP="313C5120" w:rsidRDefault="313C5120" w14:paraId="718E390D" w14:textId="6FBB42AA">
      <w:pPr>
        <w:pStyle w:val="Normal"/>
        <w:rPr/>
      </w:pPr>
      <w:r w:rsidR="313C5120">
        <w:rPr/>
        <w:t>詳見，參</w:t>
      </w:r>
      <w:r w:rsidR="313C5120">
        <w:rPr/>
        <w:t>考資料。</w:t>
      </w:r>
    </w:p>
    <w:p w:rsidR="313C5120" w:rsidP="313C5120" w:rsidRDefault="313C5120" w14:paraId="443CC5D0" w14:textId="2A5222D0">
      <w:pPr>
        <w:pStyle w:val="Normal"/>
        <w:rPr/>
      </w:pPr>
    </w:p>
    <w:p w:rsidR="313C5120" w:rsidP="313C5120" w:rsidRDefault="313C5120" w14:paraId="0792F789" w14:textId="76B7248B">
      <w:pPr>
        <w:pStyle w:val="Normal"/>
        <w:rPr>
          <w:sz w:val="52"/>
          <w:szCs w:val="52"/>
        </w:rPr>
      </w:pPr>
      <w:r w:rsidRPr="313C5120" w:rsidR="313C5120">
        <w:rPr>
          <w:sz w:val="52"/>
          <w:szCs w:val="52"/>
        </w:rPr>
        <w:t>參考資料</w:t>
      </w:r>
    </w:p>
    <w:p w:rsidR="313C5120" w:rsidP="313C5120" w:rsidRDefault="313C5120" w14:paraId="38767147" w14:textId="3A3D2687">
      <w:pPr>
        <w:pStyle w:val="Normal"/>
        <w:rPr/>
      </w:pPr>
      <w:r w:rsidR="313C5120">
        <w:rPr/>
        <w:t>稅務法規課本CH4 page 271。</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f11c5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7978E8"/>
    <w:rsid w:val="097978E8"/>
    <w:rsid w:val="313C51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78E8"/>
  <w15:chartTrackingRefBased/>
  <w15:docId w15:val="{F3D15F5B-2EB6-468B-8FB8-3DC5E794DE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43-3" TargetMode="External" Id="R981a0d17aed44737" /><Relationship Type="http://schemas.openxmlformats.org/officeDocument/2006/relationships/hyperlink" Target="https://law.moj.gov.tw/LawClass/LawSingle.aspx?pcode=G0340003&amp;flno=43-4" TargetMode="External" Id="R33592e74c1a7448a" /><Relationship Type="http://schemas.openxmlformats.org/officeDocument/2006/relationships/numbering" Target="numbering.xml" Id="R369a37710ffa4b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2024-01-27T01:46:26.0843037Z</dcterms:created>
  <dcterms:modified xsi:type="dcterms:W3CDTF">2024-04-06T12:24:47.2893897Z</dcterms:modified>
  <dc:creator>黃 奕捷</dc:creator>
  <lastModifiedBy>奕捷 黃</lastModifiedBy>
</coreProperties>
</file>