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0BFDFDB" wp14:paraId="2C078E63" wp14:textId="6A1923CF">
      <w:pPr>
        <w:jc w:val="center"/>
        <w:rPr>
          <w:sz w:val="72"/>
          <w:szCs w:val="72"/>
        </w:rPr>
      </w:pPr>
      <w:r w:rsidRPr="20BFDFDB" w:rsidR="20BFDFDB">
        <w:rPr>
          <w:sz w:val="72"/>
          <w:szCs w:val="72"/>
        </w:rPr>
        <w:t>營利事業所得稅</w:t>
      </w:r>
      <w:r w:rsidRPr="20BFDFDB" w:rsidR="20BFDFDB">
        <w:rPr>
          <w:sz w:val="72"/>
          <w:szCs w:val="72"/>
        </w:rPr>
        <w:t>--</w:t>
      </w:r>
      <w:r w:rsidRPr="20BFDFDB" w:rsidR="20BFDFDB">
        <w:rPr>
          <w:sz w:val="72"/>
          <w:szCs w:val="72"/>
        </w:rPr>
        <w:t>盈虧互抵</w:t>
      </w:r>
    </w:p>
    <w:p w:rsidR="20BFDFDB" w:rsidP="20BFDFDB" w:rsidRDefault="20BFDFDB" w14:paraId="5D5ED13A" w14:textId="08BF3DBC">
      <w:pPr>
        <w:pStyle w:val="Normal"/>
        <w:jc w:val="left"/>
        <w:rPr>
          <w:sz w:val="72"/>
          <w:szCs w:val="72"/>
        </w:rPr>
      </w:pPr>
      <w:r w:rsidRPr="20BFDFDB" w:rsidR="20BFDFDB">
        <w:rPr>
          <w:sz w:val="52"/>
          <w:szCs w:val="52"/>
        </w:rPr>
        <w:t>盈虧互抵之方法</w:t>
      </w:r>
    </w:p>
    <w:p w:rsidR="20BFDFDB" w:rsidP="20BFDFDB" w:rsidRDefault="20BFDFDB" w14:paraId="127685FB" w14:textId="012BD060">
      <w:pPr>
        <w:pStyle w:val="Normal"/>
        <w:jc w:val="left"/>
        <w:rPr>
          <w:sz w:val="52"/>
          <w:szCs w:val="52"/>
        </w:rPr>
      </w:pPr>
      <w:r w:rsidRPr="20BFDFDB" w:rsidR="20BFDFDB">
        <w:rPr>
          <w:sz w:val="24"/>
          <w:szCs w:val="24"/>
        </w:rPr>
        <w:t>以虧損年度為</w:t>
      </w:r>
      <w:r w:rsidRPr="20BFDFDB" w:rsidR="20BFDFDB">
        <w:rPr>
          <w:sz w:val="24"/>
          <w:szCs w:val="24"/>
        </w:rPr>
        <w:t>基準</w:t>
      </w:r>
      <w:r w:rsidRPr="20BFDFDB" w:rsidR="20BFDFDB">
        <w:rPr>
          <w:sz w:val="24"/>
          <w:szCs w:val="24"/>
        </w:rPr>
        <w:t>。</w:t>
      </w:r>
    </w:p>
    <w:p w:rsidR="20BFDFDB" w:rsidP="20BFDFDB" w:rsidRDefault="20BFDFDB" w14:paraId="65F1633B" w14:textId="1CFC0A22">
      <w:pPr>
        <w:pStyle w:val="Normal"/>
        <w:jc w:val="left"/>
        <w:rPr>
          <w:sz w:val="24"/>
          <w:szCs w:val="24"/>
        </w:rPr>
      </w:pPr>
      <w:r w:rsidRPr="20BFDFDB" w:rsidR="20BFDFDB">
        <w:rPr>
          <w:sz w:val="24"/>
          <w:szCs w:val="24"/>
        </w:rPr>
        <w:t>實務上分成前抵</w:t>
      </w:r>
      <w:r w:rsidRPr="20BFDFDB" w:rsidR="20BFDFDB">
        <w:rPr>
          <w:sz w:val="24"/>
          <w:szCs w:val="24"/>
        </w:rPr>
        <w:t>(</w:t>
      </w:r>
      <w:r w:rsidRPr="20BFDFDB" w:rsidR="20BFDFDB">
        <w:rPr>
          <w:sz w:val="24"/>
          <w:szCs w:val="24"/>
        </w:rPr>
        <w:t>也就是退稅</w:t>
      </w:r>
      <w:r w:rsidRPr="20BFDFDB" w:rsidR="20BFDFDB">
        <w:rPr>
          <w:sz w:val="24"/>
          <w:szCs w:val="24"/>
        </w:rPr>
        <w:t>)</w:t>
      </w:r>
      <w:r w:rsidRPr="20BFDFDB" w:rsidR="20BFDFDB">
        <w:rPr>
          <w:sz w:val="24"/>
          <w:szCs w:val="24"/>
        </w:rPr>
        <w:t>或後延</w:t>
      </w:r>
      <w:r w:rsidRPr="20BFDFDB" w:rsidR="20BFDFDB">
        <w:rPr>
          <w:sz w:val="24"/>
          <w:szCs w:val="24"/>
        </w:rPr>
        <w:t>(</w:t>
      </w:r>
      <w:r w:rsidRPr="20BFDFDB" w:rsidR="20BFDFDB">
        <w:rPr>
          <w:sz w:val="24"/>
          <w:szCs w:val="24"/>
        </w:rPr>
        <w:t>也就是抵稅</w:t>
      </w:r>
      <w:r w:rsidRPr="20BFDFDB" w:rsidR="20BFDFDB">
        <w:rPr>
          <w:sz w:val="24"/>
          <w:szCs w:val="24"/>
        </w:rPr>
        <w:t>)。</w:t>
      </w:r>
    </w:p>
    <w:p w:rsidR="20BFDFDB" w:rsidP="20BFDFDB" w:rsidRDefault="20BFDFDB" w14:paraId="4D1D80C7" w14:textId="6AC84518">
      <w:pPr>
        <w:pStyle w:val="Normal"/>
        <w:jc w:val="left"/>
        <w:rPr>
          <w:sz w:val="24"/>
          <w:szCs w:val="24"/>
        </w:rPr>
      </w:pPr>
      <w:r w:rsidRPr="20BFDFDB" w:rsidR="20BFDFDB">
        <w:rPr>
          <w:sz w:val="36"/>
          <w:szCs w:val="36"/>
        </w:rPr>
        <w:t>退稅</w:t>
      </w:r>
    </w:p>
    <w:p w:rsidR="20BFDFDB" w:rsidP="20BFDFDB" w:rsidRDefault="20BFDFDB" w14:paraId="6B1DCE2B" w14:textId="53F0F5C3">
      <w:pPr>
        <w:pStyle w:val="Normal"/>
        <w:jc w:val="left"/>
        <w:rPr>
          <w:sz w:val="24"/>
          <w:szCs w:val="24"/>
        </w:rPr>
      </w:pPr>
      <w:r w:rsidRPr="20BFDFDB" w:rsidR="20BFDFDB">
        <w:rPr>
          <w:sz w:val="24"/>
          <w:szCs w:val="24"/>
        </w:rPr>
        <w:t>虧損可以扣抵之前年度之盈餘而退稅。其缺點包括</w:t>
      </w:r>
    </w:p>
    <w:p w:rsidR="20BFDFDB" w:rsidP="20BFDFDB" w:rsidRDefault="20BFDFDB" w14:paraId="4193802E" w14:textId="3E178914">
      <w:pPr>
        <w:pStyle w:val="ListParagraph"/>
        <w:numPr>
          <w:ilvl w:val="0"/>
          <w:numId w:val="1"/>
        </w:numPr>
        <w:jc w:val="left"/>
        <w:rPr>
          <w:sz w:val="24"/>
          <w:szCs w:val="24"/>
        </w:rPr>
      </w:pPr>
      <w:r w:rsidRPr="20BFDFDB" w:rsidR="20BFDFDB">
        <w:rPr>
          <w:sz w:val="24"/>
          <w:szCs w:val="24"/>
        </w:rPr>
        <w:t>容易造成稅收之不穩定性和不安定性</w:t>
      </w:r>
      <w:r w:rsidRPr="20BFDFDB" w:rsidR="20BFDFDB">
        <w:rPr>
          <w:sz w:val="24"/>
          <w:szCs w:val="24"/>
        </w:rPr>
        <w:t>。</w:t>
      </w:r>
    </w:p>
    <w:p w:rsidR="20BFDFDB" w:rsidP="20BFDFDB" w:rsidRDefault="20BFDFDB" w14:paraId="0027F085" w14:textId="2B982746">
      <w:pPr>
        <w:pStyle w:val="Normal"/>
        <w:jc w:val="left"/>
        <w:rPr>
          <w:sz w:val="24"/>
          <w:szCs w:val="24"/>
        </w:rPr>
      </w:pPr>
      <w:r w:rsidRPr="20BFDFDB" w:rsidR="20BFDFDB">
        <w:rPr>
          <w:sz w:val="36"/>
          <w:szCs w:val="36"/>
        </w:rPr>
        <w:t>抵稅</w:t>
      </w:r>
    </w:p>
    <w:p w:rsidR="20BFDFDB" w:rsidP="20BFDFDB" w:rsidRDefault="20BFDFDB" w14:paraId="04733D76" w14:textId="2F31D6DA">
      <w:pPr>
        <w:pStyle w:val="Normal"/>
        <w:jc w:val="left"/>
        <w:rPr>
          <w:sz w:val="24"/>
          <w:szCs w:val="24"/>
        </w:rPr>
      </w:pPr>
      <w:r w:rsidRPr="20BFDFDB" w:rsidR="20BFDFDB">
        <w:rPr>
          <w:sz w:val="24"/>
          <w:szCs w:val="24"/>
        </w:rPr>
        <w:t>虧損可以在之後年度之盈餘中扣除，而減少之後年度之稅負</w:t>
      </w:r>
      <w:r w:rsidRPr="20BFDFDB" w:rsidR="20BFDFDB">
        <w:rPr>
          <w:sz w:val="24"/>
          <w:szCs w:val="24"/>
        </w:rPr>
        <w:t>。</w:t>
      </w:r>
    </w:p>
    <w:p w:rsidR="20BFDFDB" w:rsidP="20BFDFDB" w:rsidRDefault="20BFDFDB" w14:paraId="4FE26827" w14:textId="2166A94D">
      <w:pPr>
        <w:pStyle w:val="Normal"/>
        <w:jc w:val="left"/>
        <w:rPr>
          <w:sz w:val="24"/>
          <w:szCs w:val="24"/>
        </w:rPr>
      </w:pPr>
    </w:p>
    <w:p w:rsidR="20BFDFDB" w:rsidP="20BFDFDB" w:rsidRDefault="20BFDFDB" w14:paraId="6A3B3796" w14:textId="7AA6A719">
      <w:pPr>
        <w:pStyle w:val="Normal"/>
        <w:jc w:val="left"/>
        <w:rPr>
          <w:sz w:val="52"/>
          <w:szCs w:val="52"/>
        </w:rPr>
      </w:pPr>
      <w:r w:rsidRPr="20BFDFDB" w:rsidR="20BFDFDB">
        <w:rPr>
          <w:sz w:val="52"/>
          <w:szCs w:val="52"/>
        </w:rPr>
        <w:t>盈虧互抵之</w:t>
      </w:r>
      <w:r w:rsidRPr="20BFDFDB" w:rsidR="20BFDFDB">
        <w:rPr>
          <w:sz w:val="52"/>
          <w:szCs w:val="52"/>
        </w:rPr>
        <w:t>相關規範</w:t>
      </w:r>
    </w:p>
    <w:p w:rsidR="20BFDFDB" w:rsidP="20BFDFDB" w:rsidRDefault="20BFDFDB" w14:paraId="68AEADBE" w14:textId="2EE50CC0">
      <w:pPr>
        <w:pStyle w:val="Normal"/>
        <w:jc w:val="left"/>
        <w:rPr>
          <w:sz w:val="24"/>
          <w:szCs w:val="24"/>
        </w:rPr>
      </w:pPr>
      <w:r w:rsidRPr="20BFDFDB" w:rsidR="20BFDFDB">
        <w:rPr>
          <w:sz w:val="24"/>
          <w:szCs w:val="24"/>
        </w:rPr>
        <w:t>符合下列所有條件之營利事業，得將經該管稽徵機關核定之前面十年內各期虧損，自本年度純益額中扣除後，再行核稅</w:t>
      </w:r>
      <w:r w:rsidRPr="20BFDFDB" w:rsidR="20BFDFDB">
        <w:rPr>
          <w:sz w:val="24"/>
          <w:szCs w:val="24"/>
        </w:rPr>
        <w:t>。</w:t>
      </w:r>
    </w:p>
    <w:p w:rsidR="20BFDFDB" w:rsidP="20BFDFDB" w:rsidRDefault="20BFDFDB" w14:paraId="05C080B7" w14:textId="7210AF5C">
      <w:pPr>
        <w:pStyle w:val="ListParagraph"/>
        <w:numPr>
          <w:ilvl w:val="0"/>
          <w:numId w:val="2"/>
        </w:numPr>
        <w:jc w:val="left"/>
        <w:rPr>
          <w:sz w:val="24"/>
          <w:szCs w:val="24"/>
        </w:rPr>
      </w:pPr>
      <w:r w:rsidRPr="20BFDFDB" w:rsidR="20BFDFDB">
        <w:rPr>
          <w:sz w:val="24"/>
          <w:szCs w:val="24"/>
        </w:rPr>
        <w:t>為公司組織、合作社或社團醫療法人之營利事業</w:t>
      </w:r>
      <w:r w:rsidRPr="20BFDFDB" w:rsidR="20BFDFDB">
        <w:rPr>
          <w:sz w:val="24"/>
          <w:szCs w:val="24"/>
        </w:rPr>
        <w:t>。</w:t>
      </w:r>
    </w:p>
    <w:p w:rsidR="20BFDFDB" w:rsidP="20BFDFDB" w:rsidRDefault="20BFDFDB" w14:paraId="0EC31CA0" w14:textId="2F853971">
      <w:pPr>
        <w:pStyle w:val="ListParagraph"/>
        <w:numPr>
          <w:ilvl w:val="0"/>
          <w:numId w:val="2"/>
        </w:numPr>
        <w:jc w:val="left"/>
        <w:rPr>
          <w:sz w:val="24"/>
          <w:szCs w:val="24"/>
        </w:rPr>
      </w:pPr>
      <w:r w:rsidRPr="20BFDFDB" w:rsidR="20BFDFDB">
        <w:rPr>
          <w:sz w:val="24"/>
          <w:szCs w:val="24"/>
        </w:rPr>
        <w:t>前項組織之會計帳冊簿據完備</w:t>
      </w:r>
      <w:r w:rsidRPr="20BFDFDB" w:rsidR="20BFDFDB">
        <w:rPr>
          <w:sz w:val="24"/>
          <w:szCs w:val="24"/>
        </w:rPr>
        <w:t>。</w:t>
      </w:r>
    </w:p>
    <w:p w:rsidR="20BFDFDB" w:rsidP="20BFDFDB" w:rsidRDefault="20BFDFDB" w14:paraId="38A621E3" w14:textId="1F85DDAD">
      <w:pPr>
        <w:pStyle w:val="ListParagraph"/>
        <w:numPr>
          <w:ilvl w:val="0"/>
          <w:numId w:val="2"/>
        </w:numPr>
        <w:jc w:val="left"/>
        <w:rPr>
          <w:sz w:val="24"/>
          <w:szCs w:val="24"/>
        </w:rPr>
      </w:pPr>
      <w:r w:rsidRPr="20BFDFDB" w:rsidR="20BFDFDB">
        <w:rPr>
          <w:sz w:val="24"/>
          <w:szCs w:val="24"/>
        </w:rPr>
        <w:t>前項組織之虧損年度及申報扣除年度均為藍色申報或委託會計師查核簽證</w:t>
      </w:r>
      <w:r w:rsidRPr="20BFDFDB" w:rsidR="20BFDFDB">
        <w:rPr>
          <w:sz w:val="24"/>
          <w:szCs w:val="24"/>
        </w:rPr>
        <w:t>且如期申報</w:t>
      </w:r>
      <w:r w:rsidRPr="20BFDFDB" w:rsidR="20BFDFDB">
        <w:rPr>
          <w:sz w:val="24"/>
          <w:szCs w:val="24"/>
        </w:rPr>
        <w:t>。</w:t>
      </w:r>
    </w:p>
    <w:p w:rsidR="20BFDFDB" w:rsidP="20BFDFDB" w:rsidRDefault="20BFDFDB" w14:paraId="30633DC8" w14:textId="617AA027">
      <w:pPr>
        <w:pStyle w:val="ListParagraph"/>
        <w:numPr>
          <w:ilvl w:val="0"/>
          <w:numId w:val="2"/>
        </w:numPr>
        <w:jc w:val="left"/>
        <w:rPr>
          <w:sz w:val="24"/>
          <w:szCs w:val="24"/>
        </w:rPr>
      </w:pPr>
      <w:r w:rsidRPr="20BFDFDB" w:rsidR="20BFDFDB">
        <w:rPr>
          <w:sz w:val="24"/>
          <w:szCs w:val="24"/>
        </w:rPr>
        <w:t>還有更多</w:t>
      </w:r>
      <w:r w:rsidRPr="20BFDFDB" w:rsidR="20BFDFDB">
        <w:rPr>
          <w:sz w:val="24"/>
          <w:szCs w:val="24"/>
        </w:rPr>
        <w:t>。</w:t>
      </w:r>
    </w:p>
    <w:p w:rsidR="20BFDFDB" w:rsidP="20BFDFDB" w:rsidRDefault="20BFDFDB" w14:paraId="2AF0C8EC" w14:textId="5D0168DA">
      <w:pPr>
        <w:pStyle w:val="Normal"/>
        <w:ind w:left="0"/>
        <w:jc w:val="left"/>
        <w:rPr>
          <w:sz w:val="24"/>
          <w:szCs w:val="24"/>
        </w:rPr>
      </w:pPr>
    </w:p>
    <w:p w:rsidR="20BFDFDB" w:rsidP="20BFDFDB" w:rsidRDefault="20BFDFDB" w14:paraId="0B77F554" w14:textId="4E0EE698">
      <w:pPr>
        <w:pStyle w:val="Normal"/>
        <w:ind w:left="0"/>
        <w:jc w:val="left"/>
        <w:rPr>
          <w:sz w:val="24"/>
          <w:szCs w:val="24"/>
        </w:rPr>
      </w:pPr>
      <w:r w:rsidRPr="20BFDFDB" w:rsidR="20BFDFDB">
        <w:rPr>
          <w:sz w:val="24"/>
          <w:szCs w:val="24"/>
        </w:rPr>
        <w:t>法條</w:t>
      </w:r>
      <w:r w:rsidRPr="20BFDFDB" w:rsidR="20BFDFDB">
        <w:rPr>
          <w:sz w:val="24"/>
          <w:szCs w:val="24"/>
        </w:rPr>
        <w:t>：</w:t>
      </w:r>
    </w:p>
    <w:p w:rsidR="20BFDFDB" w:rsidP="20BFDFDB" w:rsidRDefault="20BFDFDB" w14:paraId="7CFB178B" w14:textId="2FCB7BB5">
      <w:pPr>
        <w:pStyle w:val="ListParagraph"/>
        <w:numPr>
          <w:ilvl w:val="0"/>
          <w:numId w:val="3"/>
        </w:numPr>
        <w:jc w:val="left"/>
        <w:rPr/>
      </w:pPr>
    </w:p>
    <w:p w:rsidR="20BFDFDB" w:rsidP="20BFDFDB" w:rsidRDefault="20BFDFDB" w14:paraId="454386F0" w14:textId="4FD5739B">
      <w:pPr>
        <w:pStyle w:val="Normal"/>
        <w:ind w:left="0"/>
        <w:jc w:val="left"/>
        <w:rPr/>
      </w:pPr>
      <w:r w:rsidRPr="20BFDFDB" w:rsidR="20BFDFDB">
        <w:rPr>
          <w:sz w:val="24"/>
          <w:szCs w:val="24"/>
        </w:rPr>
        <w:t>所得稅法第39條。</w:t>
      </w:r>
    </w:p>
    <w:p w:rsidR="20BFDFDB" w:rsidP="20BFDFDB" w:rsidRDefault="20BFDFDB" w14:paraId="513F39A0" w14:textId="3D1E257F">
      <w:pPr>
        <w:pStyle w:val="Normal"/>
        <w:ind w:left="0"/>
        <w:jc w:val="left"/>
        <w:rPr>
          <w:sz w:val="24"/>
          <w:szCs w:val="24"/>
        </w:rPr>
      </w:pPr>
    </w:p>
    <w:p w:rsidR="20BFDFDB" w:rsidP="20BFDFDB" w:rsidRDefault="20BFDFDB" w14:paraId="0800C403" w14:textId="581610A5">
      <w:pPr>
        <w:pStyle w:val="Normal"/>
        <w:ind w:left="0"/>
        <w:jc w:val="left"/>
        <w:rPr>
          <w:sz w:val="24"/>
          <w:szCs w:val="24"/>
        </w:rPr>
      </w:pPr>
      <w:r w:rsidRPr="20BFDFDB" w:rsidR="20BFDFDB">
        <w:rPr>
          <w:sz w:val="24"/>
          <w:szCs w:val="24"/>
        </w:rPr>
        <w:t>法條內容</w:t>
      </w:r>
      <w:r w:rsidRPr="20BFDFDB" w:rsidR="20BFDFDB">
        <w:rPr>
          <w:sz w:val="24"/>
          <w:szCs w:val="24"/>
        </w:rPr>
        <w:t>：</w:t>
      </w:r>
    </w:p>
    <w:p w:rsidR="20BFDFDB" w:rsidP="20BFDFDB" w:rsidRDefault="20BFDFDB" w14:paraId="6B11861F" w14:textId="036A955A">
      <w:pPr>
        <w:pStyle w:val="Normal"/>
        <w:rPr/>
      </w:pPr>
      <w:hyperlink r:id="R8845543cdd5940a5">
        <w:r w:rsidRPr="20BFDFDB" w:rsidR="20BFDFDB">
          <w:rPr>
            <w:rStyle w:val="Hyperlink"/>
            <w:noProof w:val="0"/>
            <w:lang w:val="en-US"/>
          </w:rPr>
          <w:t>第 39 條</w:t>
        </w:r>
      </w:hyperlink>
    </w:p>
    <w:p w:rsidR="20BFDFDB" w:rsidP="20BFDFDB" w:rsidRDefault="20BFDFDB" w14:paraId="093FC008" w14:textId="741E31FD">
      <w:pPr>
        <w:pStyle w:val="Normal"/>
        <w:rPr>
          <w:noProof w:val="0"/>
          <w:lang w:val="en-US"/>
        </w:rPr>
      </w:pPr>
      <w:r w:rsidRPr="20BFDFDB" w:rsidR="20BFDFDB">
        <w:rPr>
          <w:noProof w:val="0"/>
          <w:lang w:val="en-US"/>
        </w:rPr>
        <w:t>以往年度營業之虧損，不得列入本年度計算。但公司組織之營利事業，會計帳冊簿據完備，虧損及申報扣除年度均使用第七十七條所稱藍色申報書或經會計師查核簽證，並如期申報者，得將經該管稽徵機關核定之前十年內各期虧損，自本年純益額中扣除後，再行核課。</w:t>
      </w:r>
    </w:p>
    <w:p w:rsidR="20BFDFDB" w:rsidP="20BFDFDB" w:rsidRDefault="20BFDFDB" w14:paraId="43198FCC" w14:textId="240D6439">
      <w:pPr>
        <w:pStyle w:val="Normal"/>
        <w:rPr>
          <w:noProof w:val="0"/>
          <w:lang w:val="en-US"/>
        </w:rPr>
      </w:pPr>
      <w:r w:rsidRPr="20BFDFDB" w:rsidR="20BFDFDB">
        <w:rPr>
          <w:noProof w:val="0"/>
          <w:lang w:val="en-US"/>
        </w:rPr>
        <w:t>本法中華民國九十八年一月六日修正之條文施行前，符合前項但書規定之公司組織營利事業，經稽徵機關核定之以前年度虧損，尚未依法扣除完畢者，於修正施行後，適用修正後之規定。</w:t>
      </w:r>
    </w:p>
    <w:p w:rsidR="20BFDFDB" w:rsidP="20BFDFDB" w:rsidRDefault="20BFDFDB" w14:paraId="186CDB40" w14:textId="57F9F2F8">
      <w:pPr>
        <w:pStyle w:val="Normal"/>
        <w:ind w:left="0"/>
        <w:jc w:val="left"/>
        <w:rPr>
          <w:sz w:val="24"/>
          <w:szCs w:val="24"/>
        </w:rPr>
      </w:pPr>
    </w:p>
    <w:p w:rsidR="20BFDFDB" w:rsidP="20BFDFDB" w:rsidRDefault="20BFDFDB" w14:paraId="54B719E3" w14:textId="28727527">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f49a9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302e1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e67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39BF77"/>
    <w:rsid w:val="1B39BF77"/>
    <w:rsid w:val="20BFD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BF77"/>
  <w15:chartTrackingRefBased/>
  <w15:docId w15:val="{DA8248EE-9FFA-4934-90E9-180C0C627D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39" TargetMode="External" Id="R8845543cdd5940a5" /><Relationship Type="http://schemas.openxmlformats.org/officeDocument/2006/relationships/numbering" Target="numbering.xml" Id="R93dce052e96a45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2024-04-06T05:18:24.9678489Z</dcterms:created>
  <dcterms:modified xsi:type="dcterms:W3CDTF">2024-04-06T06:41:17.0399168Z</dcterms:modified>
  <dc:creator>奕捷 黃</dc:creator>
  <lastModifiedBy>奕捷 黃</lastModifiedBy>
</coreProperties>
</file>