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3951C2F" wp14:paraId="2C078E63" wp14:textId="3AE2D045">
      <w:pPr>
        <w:rPr>
          <w:sz w:val="72"/>
          <w:szCs w:val="72"/>
        </w:rPr>
      </w:pPr>
      <w:r w:rsidRPr="63951C2F" w:rsidR="63951C2F">
        <w:rPr>
          <w:sz w:val="72"/>
          <w:szCs w:val="72"/>
        </w:rPr>
        <w:t>營利事業所得稅</w:t>
      </w:r>
      <w:r w:rsidRPr="63951C2F" w:rsidR="63951C2F">
        <w:rPr>
          <w:sz w:val="72"/>
          <w:szCs w:val="72"/>
        </w:rPr>
        <w:t>--</w:t>
      </w:r>
      <w:r w:rsidRPr="63951C2F" w:rsidR="63951C2F">
        <w:rPr>
          <w:sz w:val="72"/>
          <w:szCs w:val="72"/>
        </w:rPr>
        <w:t>非常規交易</w:t>
      </w:r>
    </w:p>
    <w:p w:rsidR="63951C2F" w:rsidP="63951C2F" w:rsidRDefault="63951C2F" w14:paraId="78CCA4A7" w14:textId="2EA04C83">
      <w:pPr>
        <w:pStyle w:val="Normal"/>
        <w:rPr>
          <w:sz w:val="52"/>
          <w:szCs w:val="52"/>
        </w:rPr>
      </w:pPr>
      <w:r w:rsidRPr="63951C2F" w:rsidR="63951C2F">
        <w:rPr>
          <w:sz w:val="52"/>
          <w:szCs w:val="52"/>
        </w:rPr>
        <w:t>法條</w:t>
      </w:r>
    </w:p>
    <w:p w:rsidR="63951C2F" w:rsidP="63951C2F" w:rsidRDefault="63951C2F" w14:paraId="7FEFAE81" w14:textId="0A35879F">
      <w:pPr>
        <w:pStyle w:val="Normal"/>
        <w:rPr>
          <w:sz w:val="24"/>
          <w:szCs w:val="24"/>
        </w:rPr>
      </w:pPr>
      <w:r w:rsidRPr="63951C2F" w:rsidR="63951C2F">
        <w:rPr>
          <w:sz w:val="24"/>
          <w:szCs w:val="24"/>
        </w:rPr>
        <w:t>法條</w:t>
      </w:r>
      <w:r w:rsidRPr="63951C2F" w:rsidR="63951C2F">
        <w:rPr>
          <w:sz w:val="24"/>
          <w:szCs w:val="24"/>
        </w:rPr>
        <w:t>：</w:t>
      </w:r>
    </w:p>
    <w:p w:rsidR="63951C2F" w:rsidP="63951C2F" w:rsidRDefault="63951C2F" w14:paraId="3987E371" w14:textId="05F4B09E">
      <w:pPr>
        <w:pStyle w:val="ListParagraph"/>
        <w:numPr>
          <w:ilvl w:val="0"/>
          <w:numId w:val="1"/>
        </w:numPr>
        <w:rPr>
          <w:sz w:val="24"/>
          <w:szCs w:val="24"/>
        </w:rPr>
      </w:pPr>
    </w:p>
    <w:p w:rsidR="63951C2F" w:rsidP="63951C2F" w:rsidRDefault="63951C2F" w14:paraId="672CEC24" w14:textId="406AADBD">
      <w:pPr>
        <w:pStyle w:val="Normal"/>
        <w:ind w:left="0"/>
        <w:rPr>
          <w:sz w:val="24"/>
          <w:szCs w:val="24"/>
        </w:rPr>
      </w:pPr>
      <w:r w:rsidRPr="63951C2F" w:rsidR="63951C2F">
        <w:rPr>
          <w:sz w:val="24"/>
          <w:szCs w:val="24"/>
        </w:rPr>
        <w:t>所得稅法第43-1條。</w:t>
      </w:r>
    </w:p>
    <w:p w:rsidR="63951C2F" w:rsidP="63951C2F" w:rsidRDefault="63951C2F" w14:paraId="1D0D3063" w14:textId="277EE1BC">
      <w:pPr>
        <w:pStyle w:val="Normal"/>
        <w:ind w:left="0"/>
        <w:rPr>
          <w:sz w:val="24"/>
          <w:szCs w:val="24"/>
        </w:rPr>
      </w:pPr>
    </w:p>
    <w:p w:rsidR="63951C2F" w:rsidP="63951C2F" w:rsidRDefault="63951C2F" w14:paraId="2A62D035" w14:textId="1215C42C">
      <w:pPr>
        <w:pStyle w:val="Normal"/>
        <w:rPr>
          <w:sz w:val="24"/>
          <w:szCs w:val="24"/>
        </w:rPr>
      </w:pPr>
      <w:r w:rsidRPr="63951C2F" w:rsidR="63951C2F">
        <w:rPr>
          <w:sz w:val="24"/>
          <w:szCs w:val="24"/>
        </w:rPr>
        <w:t>法條內容</w:t>
      </w:r>
      <w:r w:rsidRPr="63951C2F" w:rsidR="63951C2F">
        <w:rPr>
          <w:sz w:val="24"/>
          <w:szCs w:val="24"/>
        </w:rPr>
        <w:t>：</w:t>
      </w:r>
    </w:p>
    <w:p w:rsidR="63951C2F" w:rsidP="63951C2F" w:rsidRDefault="63951C2F" w14:paraId="6FE36E68" w14:textId="7F922760">
      <w:pPr>
        <w:pStyle w:val="Normal"/>
        <w:rPr/>
      </w:pPr>
      <w:hyperlink r:id="Redafa31e93bc41a3">
        <w:r w:rsidRPr="63951C2F" w:rsidR="63951C2F">
          <w:rPr>
            <w:rStyle w:val="Hyperlink"/>
            <w:noProof w:val="0"/>
            <w:lang w:val="en-US"/>
          </w:rPr>
          <w:t>第 43-1 條</w:t>
        </w:r>
      </w:hyperlink>
    </w:p>
    <w:p w:rsidR="63951C2F" w:rsidP="63951C2F" w:rsidRDefault="63951C2F" w14:paraId="1EFE6257" w14:textId="4A65BF85">
      <w:pPr>
        <w:pStyle w:val="Normal"/>
        <w:rPr>
          <w:noProof w:val="0"/>
          <w:lang w:val="en-US"/>
        </w:rPr>
      </w:pPr>
      <w:r w:rsidRPr="63951C2F" w:rsidR="63951C2F">
        <w:rPr>
          <w:noProof w:val="0"/>
          <w:lang w:val="en-US"/>
        </w:rPr>
        <w:t>營利事業與國內外其他營利事業具有從屬關係，或直接間接為另一事業所有或控制，其相互間有關收益、成本、費用與損益之攤計，如有以不合營業常規之安排，規避或減少納稅義務者，稽徵機關為正確計算該事業之所得額，得報經財政部核准按營業常規予以調整。</w:t>
      </w:r>
    </w:p>
    <w:p w:rsidR="63951C2F" w:rsidP="63951C2F" w:rsidRDefault="63951C2F" w14:paraId="15495415" w14:textId="39914CB5">
      <w:pPr>
        <w:pStyle w:val="Normal"/>
        <w:rPr>
          <w:noProof w:val="0"/>
          <w:lang w:val="en-US"/>
        </w:rPr>
      </w:pPr>
    </w:p>
    <w:p w:rsidR="63951C2F" w:rsidP="63951C2F" w:rsidRDefault="63951C2F" w14:paraId="26A2FC1E" w14:textId="5E80EF32">
      <w:pPr>
        <w:pStyle w:val="ListParagraph"/>
        <w:numPr>
          <w:ilvl w:val="0"/>
          <w:numId w:val="1"/>
        </w:numPr>
        <w:rPr>
          <w:noProof w:val="0"/>
          <w:lang w:val="en-US"/>
        </w:rPr>
      </w:pPr>
    </w:p>
    <w:p w:rsidR="63951C2F" w:rsidP="63951C2F" w:rsidRDefault="63951C2F" w14:paraId="2F4D5787" w14:textId="71AEE935">
      <w:pPr>
        <w:pStyle w:val="Normal"/>
        <w:ind w:left="0"/>
        <w:rPr>
          <w:noProof w:val="0"/>
          <w:lang w:val="en-US"/>
        </w:rPr>
      </w:pPr>
      <w:r w:rsidRPr="63951C2F" w:rsidR="63951C2F">
        <w:rPr>
          <w:noProof w:val="0"/>
          <w:lang w:val="en-US"/>
        </w:rPr>
        <w:t>營利事業所得稅不合常規移轉訂價查核準則的所有法條</w:t>
      </w:r>
      <w:r w:rsidRPr="63951C2F" w:rsidR="63951C2F">
        <w:rPr>
          <w:noProof w:val="0"/>
          <w:lang w:val="en-US"/>
        </w:rPr>
        <w:t>。</w:t>
      </w:r>
    </w:p>
    <w:p w:rsidR="63951C2F" w:rsidP="63951C2F" w:rsidRDefault="63951C2F" w14:paraId="47BCE2FA" w14:textId="3E5D3F63">
      <w:pPr>
        <w:pStyle w:val="Normal"/>
        <w:ind w:left="0"/>
        <w:rPr>
          <w:noProof w:val="0"/>
          <w:lang w:val="en-US"/>
        </w:rPr>
      </w:pPr>
    </w:p>
    <w:p w:rsidR="63951C2F" w:rsidP="63951C2F" w:rsidRDefault="63951C2F" w14:paraId="69177F08" w14:textId="1215C42C">
      <w:pPr>
        <w:pStyle w:val="Normal"/>
        <w:rPr>
          <w:sz w:val="24"/>
          <w:szCs w:val="24"/>
        </w:rPr>
      </w:pPr>
      <w:r w:rsidRPr="63951C2F" w:rsidR="63951C2F">
        <w:rPr>
          <w:sz w:val="24"/>
          <w:szCs w:val="24"/>
        </w:rPr>
        <w:t>法條內容：</w:t>
      </w:r>
    </w:p>
    <w:p w:rsidR="63951C2F" w:rsidP="63951C2F" w:rsidRDefault="63951C2F" w14:paraId="7835F338" w14:textId="22E0AA36">
      <w:pPr>
        <w:pStyle w:val="Normal"/>
        <w:rPr>
          <w:rFonts w:ascii="Aptos" w:hAnsi="Aptos" w:eastAsia="Aptos" w:cs="Aptos"/>
          <w:noProof w:val="0"/>
          <w:sz w:val="24"/>
          <w:szCs w:val="24"/>
          <w:lang w:val="en-US"/>
        </w:rPr>
      </w:pPr>
      <w:r w:rsidRPr="63951C2F" w:rsidR="63951C2F">
        <w:rPr>
          <w:sz w:val="24"/>
          <w:szCs w:val="24"/>
        </w:rPr>
        <w:t>詳見，全國法規資料庫</w:t>
      </w:r>
      <w:r w:rsidRPr="63951C2F" w:rsidR="63951C2F">
        <w:rPr>
          <w:sz w:val="24"/>
          <w:szCs w:val="24"/>
        </w:rPr>
        <w:t>。</w:t>
      </w:r>
    </w:p>
    <w:p w:rsidR="63951C2F" w:rsidP="63951C2F" w:rsidRDefault="63951C2F" w14:paraId="1BEAC522" w14:textId="4027FE0F">
      <w:pPr>
        <w:pStyle w:val="Normal"/>
        <w:rPr>
          <w:rFonts w:ascii="Aptos" w:hAnsi="Aptos" w:eastAsia="Aptos" w:cs="Aptos"/>
          <w:noProof w:val="0"/>
          <w:sz w:val="24"/>
          <w:szCs w:val="24"/>
          <w:lang w:val="en-US"/>
        </w:rPr>
      </w:pPr>
      <w:hyperlink r:id="R1d97b230472846b8">
        <w:r w:rsidRPr="63951C2F" w:rsidR="63951C2F">
          <w:rPr>
            <w:rStyle w:val="Hyperlink"/>
            <w:rFonts w:ascii="Aptos" w:hAnsi="Aptos" w:eastAsia="Aptos" w:cs="Aptos"/>
            <w:noProof w:val="0"/>
            <w:sz w:val="24"/>
            <w:szCs w:val="24"/>
            <w:lang w:val="en-US"/>
          </w:rPr>
          <w:t>營利事業所得稅不合常規移轉訂價查核準則-全國法規資料庫 (moj.gov.tw)</w:t>
        </w:r>
      </w:hyperlink>
    </w:p>
    <w:p w:rsidR="63951C2F" w:rsidP="63951C2F" w:rsidRDefault="63951C2F" w14:paraId="7CA81A06" w14:textId="3FFEE7B7">
      <w:pPr>
        <w:pStyle w:val="Normal"/>
        <w:rPr>
          <w:rFonts w:ascii="Aptos" w:hAnsi="Aptos" w:eastAsia="Aptos" w:cs="Aptos"/>
          <w:noProof w:val="0"/>
          <w:sz w:val="24"/>
          <w:szCs w:val="24"/>
          <w:lang w:val="en-US"/>
        </w:rPr>
      </w:pPr>
    </w:p>
    <w:p w:rsidR="63951C2F" w:rsidP="63951C2F" w:rsidRDefault="63951C2F" w14:paraId="114CBD71" w14:textId="23BDD13B">
      <w:pPr>
        <w:pStyle w:val="ListParagraph"/>
        <w:numPr>
          <w:ilvl w:val="0"/>
          <w:numId w:val="1"/>
        </w:numPr>
        <w:rPr>
          <w:rFonts w:ascii="Aptos" w:hAnsi="Aptos" w:eastAsia="Aptos" w:cs="Aptos"/>
          <w:noProof w:val="0"/>
          <w:sz w:val="24"/>
          <w:szCs w:val="24"/>
          <w:lang w:val="en-US"/>
        </w:rPr>
      </w:pPr>
    </w:p>
    <w:p w:rsidR="63951C2F" w:rsidP="63951C2F" w:rsidRDefault="63951C2F" w14:paraId="2CC7AEEB" w14:textId="65232448">
      <w:pPr>
        <w:pStyle w:val="Normal"/>
        <w:ind w:left="0"/>
        <w:rPr>
          <w:rFonts w:ascii="Aptos" w:hAnsi="Aptos" w:eastAsia="Aptos" w:cs="Aptos"/>
          <w:noProof w:val="0"/>
          <w:sz w:val="24"/>
          <w:szCs w:val="24"/>
          <w:lang w:val="en-US"/>
        </w:rPr>
      </w:pPr>
      <w:r w:rsidRPr="63951C2F" w:rsidR="63951C2F">
        <w:rPr>
          <w:rFonts w:ascii="Aptos" w:hAnsi="Aptos" w:eastAsia="Aptos" w:cs="Aptos"/>
          <w:noProof w:val="0"/>
          <w:sz w:val="24"/>
          <w:szCs w:val="24"/>
          <w:lang w:val="en-US"/>
        </w:rPr>
        <w:t>金融控股公司法第50條。</w:t>
      </w:r>
    </w:p>
    <w:p w:rsidR="63951C2F" w:rsidP="63951C2F" w:rsidRDefault="63951C2F" w14:paraId="71A896FA" w14:textId="0FC35D11">
      <w:pPr>
        <w:pStyle w:val="Normal"/>
        <w:ind w:left="0"/>
        <w:rPr>
          <w:rFonts w:ascii="Aptos" w:hAnsi="Aptos" w:eastAsia="Aptos" w:cs="Aptos"/>
          <w:noProof w:val="0"/>
          <w:sz w:val="24"/>
          <w:szCs w:val="24"/>
          <w:lang w:val="en-US"/>
        </w:rPr>
      </w:pPr>
    </w:p>
    <w:p w:rsidR="63951C2F" w:rsidP="63951C2F" w:rsidRDefault="63951C2F" w14:paraId="5D8C2E21" w14:textId="09C83EBF">
      <w:pPr>
        <w:pStyle w:val="Normal"/>
        <w:ind w:left="0"/>
        <w:rPr>
          <w:rFonts w:ascii="Aptos" w:hAnsi="Aptos" w:eastAsia="Aptos" w:cs="Aptos"/>
          <w:noProof w:val="0"/>
          <w:sz w:val="24"/>
          <w:szCs w:val="24"/>
          <w:lang w:val="en-US"/>
        </w:rPr>
      </w:pPr>
      <w:r w:rsidRPr="63951C2F" w:rsidR="63951C2F">
        <w:rPr>
          <w:rFonts w:ascii="Aptos" w:hAnsi="Aptos" w:eastAsia="Aptos" w:cs="Aptos"/>
          <w:noProof w:val="0"/>
          <w:sz w:val="24"/>
          <w:szCs w:val="24"/>
          <w:lang w:val="en-US"/>
        </w:rPr>
        <w:t>法條內容：</w:t>
      </w:r>
    </w:p>
    <w:p w:rsidR="63951C2F" w:rsidP="63951C2F" w:rsidRDefault="63951C2F" w14:paraId="00C4B184" w14:textId="4AFF9CF5">
      <w:pPr>
        <w:pStyle w:val="Normal"/>
        <w:rPr/>
      </w:pPr>
      <w:hyperlink r:id="R7504061e821e4dc9">
        <w:r w:rsidRPr="63951C2F" w:rsidR="63951C2F">
          <w:rPr>
            <w:rStyle w:val="Hyperlink"/>
            <w:noProof w:val="0"/>
            <w:lang w:val="en-US"/>
          </w:rPr>
          <w:t>第 50 條</w:t>
        </w:r>
      </w:hyperlink>
    </w:p>
    <w:p w:rsidR="63951C2F" w:rsidP="63951C2F" w:rsidRDefault="63951C2F" w14:paraId="2B2D99E8" w14:textId="5A0213E0">
      <w:pPr>
        <w:pStyle w:val="Normal"/>
        <w:rPr>
          <w:noProof w:val="0"/>
          <w:lang w:val="en-US"/>
        </w:rPr>
      </w:pPr>
      <w:r w:rsidRPr="63951C2F" w:rsidR="63951C2F">
        <w:rPr>
          <w:noProof w:val="0"/>
          <w:lang w:val="en-US"/>
        </w:rPr>
        <w:t>金融控股公司與其子公司相互間、金融控股公司或其子公司與國內、外其他個人、營利事業或教育、文化、公益、慈善機關或團體相互間，有關收入、成本、費用及損益之攤計，有以不合交易常規之安排，規避或減少納稅義務者；或有藉由股權之收購、財產之轉移或其他虛偽之安排，不當為他人或自己規避或減少納稅義務者；稽徵機關為正確計算相關納稅義務人之所得額及應納稅額，得報經主管機關核准，按交易常規或依查得資料予以調整。但金融控股公司與其持有達已發行股份總數百分之九十之本國子公司間之交易，不適用之。</w:t>
      </w:r>
    </w:p>
    <w:p w:rsidR="63951C2F" w:rsidRDefault="63951C2F" w14:paraId="02CCD7C3" w14:textId="09B2A9A4">
      <w:pPr>
        <w:rPr/>
      </w:pPr>
      <w:r w:rsidRPr="63951C2F" w:rsidR="63951C2F">
        <w:rPr>
          <w:noProof w:val="0"/>
          <w:lang w:val="en-US"/>
        </w:rPr>
        <w:t>金融控股公司或其子公司經稽徵機關依前項</w:t>
      </w:r>
      <w:r w:rsidRPr="63951C2F" w:rsidR="63951C2F">
        <w:rPr>
          <w:rFonts w:ascii="MingLiU" w:hAnsi="MingLiU" w:eastAsia="MingLiU" w:cs="MingLiU"/>
          <w:b w:val="0"/>
          <w:bCs w:val="0"/>
          <w:i w:val="0"/>
          <w:iCs w:val="0"/>
          <w:caps w:val="0"/>
          <w:smallCaps w:val="0"/>
          <w:noProof w:val="0"/>
          <w:color w:val="000000" w:themeColor="text1" w:themeTint="FF" w:themeShade="FF"/>
          <w:sz w:val="24"/>
          <w:szCs w:val="24"/>
          <w:lang w:val="en-US"/>
        </w:rPr>
        <w:t>規定調整其所得額及應納稅額者，當年度不得適用前條合併申報營利事業所得稅之規定</w:t>
      </w:r>
      <w:r w:rsidRPr="63951C2F" w:rsidR="63951C2F">
        <w:rPr>
          <w:rFonts w:ascii="MingLiU" w:hAnsi="MingLiU" w:eastAsia="MingLiU" w:cs="MingLiU"/>
          <w:b w:val="0"/>
          <w:bCs w:val="0"/>
          <w:i w:val="0"/>
          <w:iCs w:val="0"/>
          <w:caps w:val="0"/>
          <w:smallCaps w:val="0"/>
          <w:noProof w:val="0"/>
          <w:color w:val="000000" w:themeColor="text1" w:themeTint="FF" w:themeShade="FF"/>
          <w:sz w:val="24"/>
          <w:szCs w:val="24"/>
          <w:lang w:val="en-US"/>
        </w:rPr>
        <w:t>。</w:t>
      </w:r>
    </w:p>
    <w:p w:rsidR="63951C2F" w:rsidP="63951C2F" w:rsidRDefault="63951C2F" w14:paraId="410A471E" w14:textId="1ED70B01">
      <w:pPr>
        <w:pStyle w:val="Normal"/>
        <w:rPr>
          <w:rFonts w:ascii="MingLiU" w:hAnsi="MingLiU" w:eastAsia="MingLiU" w:cs="MingLiU"/>
          <w:b w:val="0"/>
          <w:bCs w:val="0"/>
          <w:i w:val="0"/>
          <w:iCs w:val="0"/>
          <w:caps w:val="0"/>
          <w:smallCaps w:val="0"/>
          <w:noProof w:val="0"/>
          <w:color w:val="000000" w:themeColor="text1" w:themeTint="FF" w:themeShade="FF"/>
          <w:sz w:val="24"/>
          <w:szCs w:val="24"/>
          <w:lang w:val="en-US"/>
        </w:rPr>
      </w:pPr>
    </w:p>
    <w:p w:rsidR="63951C2F" w:rsidP="63951C2F" w:rsidRDefault="63951C2F" w14:paraId="7CFFFFE5" w14:textId="6A3DF57F">
      <w:pPr>
        <w:pStyle w:val="ListParagraph"/>
        <w:numPr>
          <w:ilvl w:val="0"/>
          <w:numId w:val="1"/>
        </w:numPr>
        <w:rPr>
          <w:rFonts w:ascii="Aptos" w:hAnsi="Aptos" w:eastAsia="Aptos" w:cs="Aptos"/>
          <w:noProof w:val="0"/>
          <w:sz w:val="24"/>
          <w:szCs w:val="24"/>
          <w:lang w:val="en-US"/>
        </w:rPr>
      </w:pPr>
    </w:p>
    <w:p w:rsidR="63951C2F" w:rsidP="63951C2F" w:rsidRDefault="63951C2F" w14:paraId="671C9F26" w14:textId="3DBF7968">
      <w:pPr>
        <w:pStyle w:val="Normal"/>
        <w:ind w:left="0"/>
        <w:rPr>
          <w:rFonts w:ascii="Aptos" w:hAnsi="Aptos" w:eastAsia="Aptos" w:cs="Aptos"/>
          <w:noProof w:val="0"/>
          <w:sz w:val="24"/>
          <w:szCs w:val="24"/>
          <w:lang w:val="en-US"/>
        </w:rPr>
      </w:pPr>
      <w:r w:rsidRPr="63951C2F" w:rsidR="63951C2F">
        <w:rPr>
          <w:rFonts w:ascii="Aptos" w:hAnsi="Aptos" w:eastAsia="Aptos" w:cs="Aptos"/>
          <w:noProof w:val="0"/>
          <w:sz w:val="24"/>
          <w:szCs w:val="24"/>
          <w:lang w:val="en-US"/>
        </w:rPr>
        <w:t>企業併購法第42條。</w:t>
      </w:r>
    </w:p>
    <w:p w:rsidR="63951C2F" w:rsidP="63951C2F" w:rsidRDefault="63951C2F" w14:paraId="1691E069" w14:textId="46CDAD64">
      <w:pPr>
        <w:pStyle w:val="Normal"/>
        <w:ind w:left="0"/>
        <w:rPr>
          <w:rFonts w:ascii="Aptos" w:hAnsi="Aptos" w:eastAsia="Aptos" w:cs="Aptos"/>
          <w:noProof w:val="0"/>
          <w:sz w:val="24"/>
          <w:szCs w:val="24"/>
          <w:lang w:val="en-US"/>
        </w:rPr>
      </w:pPr>
    </w:p>
    <w:p w:rsidR="63951C2F" w:rsidP="63951C2F" w:rsidRDefault="63951C2F" w14:paraId="7D84434F" w14:textId="6192BE41">
      <w:pPr>
        <w:pStyle w:val="Normal"/>
        <w:ind w:left="0"/>
        <w:rPr>
          <w:rFonts w:ascii="Aptos" w:hAnsi="Aptos" w:eastAsia="Aptos" w:cs="Aptos"/>
          <w:noProof w:val="0"/>
          <w:sz w:val="24"/>
          <w:szCs w:val="24"/>
          <w:lang w:val="en-US"/>
        </w:rPr>
      </w:pPr>
      <w:r w:rsidRPr="63951C2F" w:rsidR="63951C2F">
        <w:rPr>
          <w:rFonts w:ascii="Aptos" w:hAnsi="Aptos" w:eastAsia="Aptos" w:cs="Aptos"/>
          <w:noProof w:val="0"/>
          <w:sz w:val="24"/>
          <w:szCs w:val="24"/>
          <w:lang w:val="en-US"/>
        </w:rPr>
        <w:t>法條內容：</w:t>
      </w:r>
    </w:p>
    <w:p w:rsidR="63951C2F" w:rsidP="63951C2F" w:rsidRDefault="63951C2F" w14:paraId="35D926AB" w14:textId="06638CED">
      <w:pPr>
        <w:pStyle w:val="Normal"/>
        <w:rPr/>
      </w:pPr>
      <w:hyperlink r:id="R801f8d634bca4523">
        <w:r w:rsidRPr="63951C2F" w:rsidR="63951C2F">
          <w:rPr>
            <w:rStyle w:val="Hyperlink"/>
            <w:noProof w:val="0"/>
            <w:lang w:val="en-US"/>
          </w:rPr>
          <w:t>第 42 條</w:t>
        </w:r>
      </w:hyperlink>
    </w:p>
    <w:p w:rsidR="63951C2F" w:rsidP="63951C2F" w:rsidRDefault="63951C2F" w14:paraId="5BC24AA6" w14:textId="6624E60C">
      <w:pPr>
        <w:pStyle w:val="Normal"/>
        <w:rPr>
          <w:noProof w:val="0"/>
          <w:lang w:val="en-US"/>
        </w:rPr>
      </w:pPr>
      <w:r w:rsidRPr="63951C2F" w:rsidR="63951C2F">
        <w:rPr>
          <w:noProof w:val="0"/>
          <w:lang w:val="en-US"/>
        </w:rPr>
        <w:t>公司進行合併、分割或依第二十七條及第二十八條規定收購，合併後存續或新設公司、分割後既存或新設公司、收購公司得分別繼續承受合併消滅公司、被分割公司或被收購公司於併購前就併購之財產或營業部分依相關法律規定已享有而尚未屆滿或尚未抵減之租稅獎勵。但適用免徵營利事業所得稅之獎勵者，應繼續生產合併消滅公司、被分割公司或被收購公司於併購前受獎勵之產品或提供受獎勵之勞務，且以合併後存續或新設之公司、分割後新設或既存公司、收購公司中，屬消滅公司、被分割公司或被收購公司原受獎勵且獨立生產之產品或提供之勞務部分計算之所得額為限；適用投資抵減獎勵者，以合併後存續或新設公司、分割後新設或既存公司、收購公司中，屬合併消滅公司、被分割公司或被收購公司部分計算之應納稅額為限。</w:t>
      </w:r>
    </w:p>
    <w:p w:rsidR="63951C2F" w:rsidP="63951C2F" w:rsidRDefault="63951C2F" w14:paraId="356AF2A4" w14:textId="571B701E">
      <w:pPr>
        <w:pStyle w:val="Normal"/>
        <w:rPr>
          <w:noProof w:val="0"/>
          <w:lang w:val="en-US"/>
        </w:rPr>
      </w:pPr>
      <w:r w:rsidRPr="63951C2F" w:rsidR="63951C2F">
        <w:rPr>
          <w:noProof w:val="0"/>
          <w:lang w:val="en-US"/>
        </w:rPr>
        <w:t>依前項規定得由公司繼續承受之租稅優惠，應符合相關法令規定之獎勵條件及標準者，公司於繼受後仍應符合同一獎勵條件及標準</w:t>
      </w:r>
      <w:r w:rsidRPr="63951C2F" w:rsidR="63951C2F">
        <w:rPr>
          <w:noProof w:val="0"/>
          <w:lang w:val="en-US"/>
        </w:rPr>
        <w:t>。</w:t>
      </w:r>
    </w:p>
    <w:p w:rsidR="63951C2F" w:rsidP="63951C2F" w:rsidRDefault="63951C2F" w14:paraId="023ED51D" w14:textId="54ADF167">
      <w:pPr>
        <w:pStyle w:val="Normal"/>
        <w:rPr>
          <w:noProof w:val="0"/>
          <w:lang w:val="en-US"/>
        </w:rPr>
      </w:pPr>
      <w:r w:rsidRPr="63951C2F" w:rsidR="63951C2F">
        <w:rPr>
          <w:noProof w:val="0"/>
          <w:lang w:val="en-US"/>
        </w:rPr>
        <w:t>為加速產業結構調整，鼓勵有盈餘之公司併購虧損之公司，償還併購時隨同移轉積欠銀行之債務，行政院得訂定辦法在一定期間內，就併購之財產或營業部分產生之所得，免徵營利事業所得稅。</w:t>
      </w:r>
    </w:p>
    <w:p w:rsidR="63951C2F" w:rsidP="63951C2F" w:rsidRDefault="63951C2F" w14:paraId="09A6E953" w14:textId="261C8A35">
      <w:pPr>
        <w:pStyle w:val="Normal"/>
        <w:rPr>
          <w:noProof w:val="0"/>
          <w:lang w:val="en-US"/>
        </w:rPr>
      </w:pPr>
      <w:r w:rsidRPr="63951C2F" w:rsidR="63951C2F">
        <w:rPr>
          <w:noProof w:val="0"/>
          <w:lang w:val="en-US"/>
        </w:rPr>
        <w:t>虧損公司互為合併者，比照前項規定辦理</w:t>
      </w:r>
      <w:r w:rsidRPr="63951C2F" w:rsidR="63951C2F">
        <w:rPr>
          <w:noProof w:val="0"/>
          <w:lang w:val="en-US"/>
        </w:rPr>
        <w:t>。</w:t>
      </w:r>
    </w:p>
    <w:p w:rsidR="63951C2F" w:rsidP="63951C2F" w:rsidRDefault="63951C2F" w14:paraId="6DB87162" w14:textId="55E7C671">
      <w:pPr>
        <w:pStyle w:val="Normal"/>
        <w:rPr>
          <w:noProof w:val="0"/>
          <w:lang w:val="en-US"/>
        </w:rPr>
      </w:pPr>
      <w:r w:rsidRPr="63951C2F" w:rsidR="63951C2F">
        <w:rPr>
          <w:noProof w:val="0"/>
          <w:lang w:val="en-US"/>
        </w:rPr>
        <w:t>第三項及第四項免徵營利事業所得稅之一定期間，適用條件及辦法，由行政院定之</w:t>
      </w:r>
      <w:r w:rsidRPr="63951C2F" w:rsidR="63951C2F">
        <w:rPr>
          <w:noProof w:val="0"/>
          <w:lang w:val="en-US"/>
        </w:rPr>
        <w:t>。</w:t>
      </w:r>
    </w:p>
    <w:p w:rsidR="63951C2F" w:rsidP="63951C2F" w:rsidRDefault="63951C2F" w14:paraId="1C9469CE" w14:textId="001D30EC">
      <w:pPr>
        <w:pStyle w:val="Normal"/>
        <w:ind w:left="0"/>
        <w:rPr>
          <w:rFonts w:ascii="Aptos" w:hAnsi="Aptos" w:eastAsia="Aptos" w:cs="Aptos"/>
          <w:noProof w:val="0"/>
          <w:sz w:val="24"/>
          <w:szCs w:val="24"/>
          <w:lang w:val="en-US"/>
        </w:rPr>
      </w:pPr>
    </w:p>
    <w:p w:rsidR="63951C2F" w:rsidP="63951C2F" w:rsidRDefault="63951C2F" w14:paraId="26DAF235" w14:textId="0BB98AD6">
      <w:pPr>
        <w:pStyle w:val="Normal"/>
        <w:rPr>
          <w:rFonts w:ascii="Aptos" w:hAnsi="Aptos" w:eastAsia="Aptos" w:cs="Aptos"/>
          <w:noProof w:val="0"/>
          <w:sz w:val="52"/>
          <w:szCs w:val="52"/>
          <w:lang w:val="en-US"/>
        </w:rPr>
      </w:pPr>
      <w:r w:rsidRPr="63951C2F" w:rsidR="63951C2F">
        <w:rPr>
          <w:rFonts w:ascii="Aptos" w:hAnsi="Aptos" w:eastAsia="Aptos" w:cs="Aptos"/>
          <w:noProof w:val="0"/>
          <w:sz w:val="52"/>
          <w:szCs w:val="52"/>
          <w:lang w:val="en-US"/>
        </w:rPr>
        <w:t>圖示</w:t>
      </w:r>
    </w:p>
    <w:p w:rsidR="63951C2F" w:rsidP="63951C2F" w:rsidRDefault="63951C2F" w14:paraId="35C02282" w14:textId="3FAFF6C8">
      <w:pPr>
        <w:widowControl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63951C2F" w:rsidR="63951C2F">
        <w:rPr>
          <w:rFonts w:ascii="Calibri" w:hAnsi="Calibri" w:eastAsia="Calibri" w:cs="Calibri"/>
          <w:b w:val="0"/>
          <w:bCs w:val="0"/>
          <w:i w:val="0"/>
          <w:iCs w:val="0"/>
          <w:caps w:val="0"/>
          <w:smallCaps w:val="0"/>
          <w:noProof w:val="0"/>
          <w:color w:val="000000" w:themeColor="text1" w:themeTint="FF" w:themeShade="FF"/>
          <w:sz w:val="24"/>
          <w:szCs w:val="24"/>
          <w:lang w:val="en-US"/>
        </w:rPr>
        <w:t>因課本有很詳細說明，所以這裡不多做說明。</w:t>
      </w:r>
    </w:p>
    <w:p w:rsidR="63951C2F" w:rsidP="63951C2F" w:rsidRDefault="63951C2F" w14:paraId="7B4BE0D2" w14:textId="2A1A702C">
      <w:pPr>
        <w:widowControl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63951C2F" w:rsidR="63951C2F">
        <w:rPr>
          <w:rFonts w:ascii="Calibri" w:hAnsi="Calibri" w:eastAsia="Calibri" w:cs="Calibri"/>
          <w:b w:val="0"/>
          <w:bCs w:val="0"/>
          <w:i w:val="0"/>
          <w:iCs w:val="0"/>
          <w:caps w:val="0"/>
          <w:smallCaps w:val="0"/>
          <w:noProof w:val="0"/>
          <w:color w:val="000000" w:themeColor="text1" w:themeTint="FF" w:themeShade="FF"/>
          <w:sz w:val="24"/>
          <w:szCs w:val="24"/>
          <w:lang w:val="en-US"/>
        </w:rPr>
        <w:t>詳見，參考資料。</w:t>
      </w:r>
    </w:p>
    <w:p w:rsidR="63951C2F" w:rsidP="63951C2F" w:rsidRDefault="63951C2F" w14:paraId="34ECC9C9" w14:textId="4896F0C5">
      <w:pPr>
        <w:pStyle w:val="Normal"/>
        <w:rPr>
          <w:rFonts w:ascii="Aptos" w:hAnsi="Aptos" w:eastAsia="Aptos" w:cs="Aptos"/>
          <w:noProof w:val="0"/>
          <w:sz w:val="24"/>
          <w:szCs w:val="24"/>
          <w:lang w:val="en-US"/>
        </w:rPr>
      </w:pPr>
    </w:p>
    <w:p w:rsidR="63951C2F" w:rsidP="63951C2F" w:rsidRDefault="63951C2F" w14:paraId="0A73C292" w14:textId="654E5E03">
      <w:pPr>
        <w:widowControl w:val="0"/>
        <w:rPr>
          <w:rFonts w:ascii="Calibri" w:hAnsi="Calibri" w:eastAsia="Calibri" w:cs="Calibri"/>
          <w:b w:val="0"/>
          <w:bCs w:val="0"/>
          <w:i w:val="0"/>
          <w:iCs w:val="0"/>
          <w:caps w:val="0"/>
          <w:smallCaps w:val="0"/>
          <w:noProof w:val="0"/>
          <w:color w:val="000000" w:themeColor="text1" w:themeTint="FF" w:themeShade="FF"/>
          <w:sz w:val="52"/>
          <w:szCs w:val="52"/>
          <w:lang w:val="en-US"/>
        </w:rPr>
      </w:pPr>
      <w:r w:rsidRPr="63951C2F" w:rsidR="63951C2F">
        <w:rPr>
          <w:rFonts w:ascii="Calibri" w:hAnsi="Calibri" w:eastAsia="Calibri" w:cs="Calibri"/>
          <w:b w:val="0"/>
          <w:bCs w:val="0"/>
          <w:i w:val="0"/>
          <w:iCs w:val="0"/>
          <w:caps w:val="0"/>
          <w:smallCaps w:val="0"/>
          <w:noProof w:val="0"/>
          <w:color w:val="000000" w:themeColor="text1" w:themeTint="FF" w:themeShade="FF"/>
          <w:sz w:val="52"/>
          <w:szCs w:val="52"/>
          <w:lang w:val="en-US"/>
        </w:rPr>
        <w:t>其他部分</w:t>
      </w:r>
    </w:p>
    <w:p w:rsidR="63951C2F" w:rsidP="63951C2F" w:rsidRDefault="63951C2F" w14:paraId="53EC8F4F" w14:textId="506D7966">
      <w:pPr>
        <w:widowControl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63951C2F" w:rsidR="63951C2F">
        <w:rPr>
          <w:rFonts w:ascii="Calibri" w:hAnsi="Calibri" w:eastAsia="Calibri" w:cs="Calibri"/>
          <w:b w:val="0"/>
          <w:bCs w:val="0"/>
          <w:i w:val="0"/>
          <w:iCs w:val="0"/>
          <w:caps w:val="0"/>
          <w:smallCaps w:val="0"/>
          <w:noProof w:val="0"/>
          <w:color w:val="000000" w:themeColor="text1" w:themeTint="FF" w:themeShade="FF"/>
          <w:sz w:val="24"/>
          <w:szCs w:val="24"/>
          <w:lang w:val="en-US"/>
        </w:rPr>
        <w:t>同上。</w:t>
      </w:r>
    </w:p>
    <w:p w:rsidR="63951C2F" w:rsidP="63951C2F" w:rsidRDefault="63951C2F" w14:paraId="4F36DADB" w14:textId="48E12E85">
      <w:pPr>
        <w:pStyle w:val="Normal"/>
        <w:widowControl w:val="0"/>
        <w:rPr>
          <w:rFonts w:ascii="Calibri" w:hAnsi="Calibri" w:eastAsia="Calibri" w:cs="Calibri"/>
          <w:b w:val="0"/>
          <w:bCs w:val="0"/>
          <w:i w:val="0"/>
          <w:iCs w:val="0"/>
          <w:caps w:val="0"/>
          <w:smallCaps w:val="0"/>
          <w:noProof w:val="0"/>
          <w:color w:val="000000" w:themeColor="text1" w:themeTint="FF" w:themeShade="FF"/>
          <w:sz w:val="24"/>
          <w:szCs w:val="24"/>
          <w:lang w:val="en-US"/>
        </w:rPr>
      </w:pPr>
    </w:p>
    <w:p w:rsidR="63951C2F" w:rsidP="63951C2F" w:rsidRDefault="63951C2F" w14:paraId="4A2F28F9" w14:textId="15E8037E">
      <w:pPr>
        <w:widowControl w:val="0"/>
        <w:rPr>
          <w:rFonts w:ascii="Calibri" w:hAnsi="Calibri" w:eastAsia="Calibri" w:cs="Calibri"/>
          <w:b w:val="0"/>
          <w:bCs w:val="0"/>
          <w:i w:val="0"/>
          <w:iCs w:val="0"/>
          <w:caps w:val="0"/>
          <w:smallCaps w:val="0"/>
          <w:noProof w:val="0"/>
          <w:color w:val="000000" w:themeColor="text1" w:themeTint="FF" w:themeShade="FF"/>
          <w:sz w:val="52"/>
          <w:szCs w:val="52"/>
          <w:lang w:val="en-US"/>
        </w:rPr>
      </w:pPr>
      <w:r w:rsidRPr="63951C2F" w:rsidR="63951C2F">
        <w:rPr>
          <w:rFonts w:ascii="Calibri" w:hAnsi="Calibri" w:eastAsia="Calibri" w:cs="Calibri"/>
          <w:b w:val="0"/>
          <w:bCs w:val="0"/>
          <w:i w:val="0"/>
          <w:iCs w:val="0"/>
          <w:caps w:val="0"/>
          <w:smallCaps w:val="0"/>
          <w:noProof w:val="0"/>
          <w:color w:val="000000" w:themeColor="text1" w:themeTint="FF" w:themeShade="FF"/>
          <w:sz w:val="52"/>
          <w:szCs w:val="52"/>
          <w:lang w:val="en-US"/>
        </w:rPr>
        <w:t>參考資料</w:t>
      </w:r>
    </w:p>
    <w:p w:rsidR="63951C2F" w:rsidP="63951C2F" w:rsidRDefault="63951C2F" w14:paraId="4AB63651" w14:textId="39F241D8">
      <w:pPr>
        <w:widowControl w:val="0"/>
        <w:rPr>
          <w:rFonts w:ascii="Calibri" w:hAnsi="Calibri" w:eastAsia="Calibri" w:cs="Calibri"/>
          <w:b w:val="0"/>
          <w:bCs w:val="0"/>
          <w:i w:val="0"/>
          <w:iCs w:val="0"/>
          <w:caps w:val="0"/>
          <w:smallCaps w:val="0"/>
          <w:noProof w:val="0"/>
          <w:color w:val="000000" w:themeColor="text1" w:themeTint="FF" w:themeShade="FF"/>
          <w:sz w:val="24"/>
          <w:szCs w:val="24"/>
          <w:lang w:val="en-US"/>
        </w:rPr>
      </w:pPr>
      <w:r w:rsidRPr="63951C2F" w:rsidR="63951C2F">
        <w:rPr>
          <w:rFonts w:ascii="Calibri" w:hAnsi="Calibri" w:eastAsia="Calibri" w:cs="Calibri"/>
          <w:b w:val="0"/>
          <w:bCs w:val="0"/>
          <w:i w:val="0"/>
          <w:iCs w:val="0"/>
          <w:caps w:val="0"/>
          <w:smallCaps w:val="0"/>
          <w:noProof w:val="0"/>
          <w:color w:val="000000" w:themeColor="text1" w:themeTint="FF" w:themeShade="FF"/>
          <w:sz w:val="24"/>
          <w:szCs w:val="24"/>
          <w:lang w:val="en-US"/>
        </w:rPr>
        <w:t>稅務法規課本CH4 page 263。</w:t>
      </w:r>
    </w:p>
    <w:p w:rsidR="63951C2F" w:rsidP="63951C2F" w:rsidRDefault="63951C2F" w14:paraId="1B7A24A6" w14:textId="1A649304">
      <w:pPr>
        <w:pStyle w:val="Normal"/>
        <w:rPr>
          <w:rFonts w:ascii="Aptos" w:hAnsi="Aptos" w:eastAsia="Aptos" w:cs="Aptos"/>
          <w:noProof w:val="0"/>
          <w:sz w:val="24"/>
          <w:szCs w:val="24"/>
          <w:lang w:val="en-US"/>
        </w:rPr>
      </w:pPr>
    </w:p>
    <w:p w:rsidR="63951C2F" w:rsidP="63951C2F" w:rsidRDefault="63951C2F" w14:paraId="1EE23A49" w14:textId="5D43AF36">
      <w:pPr>
        <w:pStyle w:val="Normal"/>
        <w:rPr>
          <w:rFonts w:ascii="Aptos" w:hAnsi="Aptos" w:eastAsia="Aptos" w:cs="Aptos"/>
          <w:noProof w:val="0"/>
          <w:sz w:val="52"/>
          <w:szCs w:val="5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H8Z+89XcmyXK9s" int2:id="7E6domaN">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47d40b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74A3B8"/>
    <w:rsid w:val="4D74A3B8"/>
    <w:rsid w:val="63951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4A3B8"/>
  <w15:chartTrackingRefBased/>
  <w15:docId w15:val="{71F22392-5DAE-404C-9E65-F6D9D33820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G0340003&amp;flno=43-1" TargetMode="External" Id="Redafa31e93bc41a3" /><Relationship Type="http://schemas.openxmlformats.org/officeDocument/2006/relationships/hyperlink" Target="https://law.moj.gov.tw/LawClass/LawAll.aspx?pcode=G0340019&amp;kw=%e7%87%9f%e5%88%a9%e4%ba%8b%e6%a5%ad%e6%89%80%e5%be%97%e7%a8%85%e4%b8%8d%e5%90%88%e5%b8%b8%e8%a6%8f%e7%a7%bb%e8%bd%89%e8%a8%82%e5%83%b9%e6%9f%a5%e6%a0%b8%e6%ba%96%e5%89%87" TargetMode="External" Id="R1d97b230472846b8" /><Relationship Type="http://schemas.openxmlformats.org/officeDocument/2006/relationships/hyperlink" Target="https://law.moj.gov.tw/LawClass/LawSingle.aspx?pcode=G0380112&amp;flno=50" TargetMode="External" Id="R7504061e821e4dc9" /><Relationship Type="http://schemas.openxmlformats.org/officeDocument/2006/relationships/hyperlink" Target="https://law.moj.gov.tw/LawClass/LawSingle.aspx?pcode=J0080041&amp;flno=42" TargetMode="External" Id="R801f8d634bca4523" /><Relationship Type="http://schemas.microsoft.com/office/2020/10/relationships/intelligence" Target="intelligence2.xml" Id="R67a86dea173a4d20" /><Relationship Type="http://schemas.openxmlformats.org/officeDocument/2006/relationships/numbering" Target="numbering.xml" Id="R00c6ac0828c9468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2024-04-06T11:45:21.9319620Z</dcterms:created>
  <dcterms:modified xsi:type="dcterms:W3CDTF">2024-04-06T12:27:03.7293057Z</dcterms:modified>
  <dc:creator>奕捷 黃</dc:creator>
  <lastModifiedBy>奕捷 黃</lastModifiedBy>
</coreProperties>
</file>