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EFE6CE1" wp14:paraId="5D06F65E" wp14:textId="45AF723A">
      <w:pPr>
        <w:spacing w:after="160" w:line="279" w:lineRule="auto"/>
        <w:jc w:val="center"/>
        <w:rPr>
          <w:rFonts w:ascii="Calibri" w:hAnsi="Calibri" w:eastAsia="Calibri" w:cs="Calibri"/>
          <w:noProof w:val="0"/>
          <w:sz w:val="24"/>
          <w:szCs w:val="24"/>
          <w:lang w:val="en-US"/>
        </w:rPr>
      </w:pPr>
      <w:r w:rsidRPr="4EFE6CE1" w:rsidR="4EFE6CE1">
        <w:rPr>
          <w:rFonts w:ascii="Aptos" w:hAnsi="Aptos" w:eastAsia="Aptos" w:cs="Aptos"/>
          <w:b w:val="0"/>
          <w:bCs w:val="0"/>
          <w:i w:val="0"/>
          <w:iCs w:val="0"/>
          <w:caps w:val="0"/>
          <w:smallCaps w:val="0"/>
          <w:noProof w:val="0"/>
          <w:color w:val="000000" w:themeColor="text1" w:themeTint="FF" w:themeShade="FF"/>
          <w:sz w:val="72"/>
          <w:szCs w:val="72"/>
          <w:lang w:val="en-US"/>
        </w:rPr>
        <w:t>營利事業所得額</w:t>
      </w:r>
      <w:r w:rsidRPr="4EFE6CE1" w:rsidR="4EFE6CE1">
        <w:rPr>
          <w:rFonts w:ascii="Aptos" w:hAnsi="Aptos" w:eastAsia="Aptos" w:cs="Aptos"/>
          <w:b w:val="0"/>
          <w:bCs w:val="0"/>
          <w:i w:val="0"/>
          <w:iCs w:val="0"/>
          <w:caps w:val="0"/>
          <w:smallCaps w:val="0"/>
          <w:noProof w:val="0"/>
          <w:color w:val="000000" w:themeColor="text1" w:themeTint="FF" w:themeShade="FF"/>
          <w:sz w:val="72"/>
          <w:szCs w:val="72"/>
          <w:lang w:val="en-US"/>
        </w:rPr>
        <w:t xml:space="preserve"> --</w:t>
      </w:r>
      <w:r w:rsidRPr="4EFE6CE1" w:rsidR="4EFE6CE1">
        <w:rPr>
          <w:rFonts w:ascii="Aptos" w:hAnsi="Aptos" w:eastAsia="Aptos" w:cs="Aptos"/>
          <w:b w:val="0"/>
          <w:bCs w:val="0"/>
          <w:i w:val="0"/>
          <w:iCs w:val="0"/>
          <w:caps w:val="0"/>
          <w:smallCaps w:val="0"/>
          <w:noProof w:val="0"/>
          <w:color w:val="000000" w:themeColor="text1" w:themeTint="FF" w:themeShade="FF"/>
          <w:sz w:val="72"/>
          <w:szCs w:val="72"/>
          <w:lang w:val="en-US"/>
        </w:rPr>
        <w:t>成本</w:t>
      </w:r>
      <w:r w:rsidRPr="4EFE6CE1" w:rsidR="4EFE6CE1">
        <w:rPr>
          <w:rFonts w:ascii="Aptos" w:hAnsi="Aptos" w:eastAsia="Aptos" w:cs="Aptos"/>
          <w:b w:val="0"/>
          <w:bCs w:val="0"/>
          <w:i w:val="0"/>
          <w:iCs w:val="0"/>
          <w:caps w:val="0"/>
          <w:smallCaps w:val="0"/>
          <w:noProof w:val="0"/>
          <w:color w:val="000000" w:themeColor="text1" w:themeTint="FF" w:themeShade="FF"/>
          <w:sz w:val="72"/>
          <w:szCs w:val="72"/>
          <w:lang w:val="en-US"/>
        </w:rPr>
        <w:t>篇</w:t>
      </w:r>
    </w:p>
    <w:p xmlns:wp14="http://schemas.microsoft.com/office/word/2010/wordml" w:rsidP="4EFE6CE1" wp14:paraId="59064F6D" wp14:textId="75D6BF0B">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52"/>
          <w:szCs w:val="52"/>
          <w:lang w:val="en-US"/>
        </w:rPr>
      </w:pPr>
      <w:r w:rsidRPr="4EFE6CE1" w:rsidR="4EFE6CE1">
        <w:rPr>
          <w:rFonts w:ascii="Aptos" w:hAnsi="Aptos" w:eastAsia="Aptos" w:cs="Aptos"/>
          <w:b w:val="0"/>
          <w:bCs w:val="0"/>
          <w:i w:val="0"/>
          <w:iCs w:val="0"/>
          <w:caps w:val="0"/>
          <w:smallCaps w:val="0"/>
          <w:noProof w:val="0"/>
          <w:color w:val="000000" w:themeColor="text1" w:themeTint="FF" w:themeShade="FF"/>
          <w:sz w:val="52"/>
          <w:szCs w:val="52"/>
          <w:lang w:val="en-US"/>
        </w:rPr>
        <w:t>進貨成本</w:t>
      </w:r>
    </w:p>
    <w:p xmlns:wp14="http://schemas.microsoft.com/office/word/2010/wordml" w:rsidP="4EFE6CE1" wp14:paraId="3587FD2F" wp14:textId="2EBF1415">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36"/>
          <w:szCs w:val="36"/>
          <w:lang w:val="en-US"/>
        </w:rPr>
      </w:pPr>
      <w:r w:rsidRPr="4EFE6CE1" w:rsidR="4EFE6CE1">
        <w:rPr>
          <w:rFonts w:ascii="Aptos" w:hAnsi="Aptos" w:eastAsia="Aptos" w:cs="Aptos"/>
          <w:b w:val="0"/>
          <w:bCs w:val="0"/>
          <w:i w:val="0"/>
          <w:iCs w:val="0"/>
          <w:caps w:val="0"/>
          <w:smallCaps w:val="0"/>
          <w:noProof w:val="0"/>
          <w:color w:val="000000" w:themeColor="text1" w:themeTint="FF" w:themeShade="FF"/>
          <w:sz w:val="36"/>
          <w:szCs w:val="36"/>
          <w:lang w:val="en-US"/>
        </w:rPr>
        <w:t>法條</w:t>
      </w:r>
    </w:p>
    <w:p xmlns:wp14="http://schemas.microsoft.com/office/word/2010/wordml" w:rsidP="4EFE6CE1" wp14:paraId="594F6ED6" wp14:textId="0126A3B4">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EFE6CE1" w:rsidR="4EFE6CE1">
        <w:rPr>
          <w:rFonts w:ascii="Aptos" w:hAnsi="Aptos" w:eastAsia="Aptos" w:cs="Aptos"/>
          <w:b w:val="0"/>
          <w:bCs w:val="0"/>
          <w:i w:val="0"/>
          <w:iCs w:val="0"/>
          <w:caps w:val="0"/>
          <w:smallCaps w:val="0"/>
          <w:noProof w:val="0"/>
          <w:color w:val="000000" w:themeColor="text1" w:themeTint="FF" w:themeShade="FF"/>
          <w:sz w:val="24"/>
          <w:szCs w:val="24"/>
          <w:lang w:val="en-US"/>
        </w:rPr>
        <w:t>1.</w:t>
      </w:r>
    </w:p>
    <w:p xmlns:wp14="http://schemas.microsoft.com/office/word/2010/wordml" w:rsidP="4EFE6CE1" wp14:paraId="1A26B503" wp14:textId="01F67C2F">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EFE6CE1" w:rsidR="4EFE6CE1">
        <w:rPr>
          <w:rFonts w:ascii="Aptos" w:hAnsi="Aptos" w:eastAsia="Aptos" w:cs="Aptos"/>
          <w:b w:val="0"/>
          <w:bCs w:val="0"/>
          <w:i w:val="0"/>
          <w:iCs w:val="0"/>
          <w:caps w:val="0"/>
          <w:smallCaps w:val="0"/>
          <w:noProof w:val="0"/>
          <w:color w:val="000000" w:themeColor="text1" w:themeTint="FF" w:themeShade="FF"/>
          <w:sz w:val="24"/>
          <w:szCs w:val="24"/>
          <w:lang w:val="en-US"/>
        </w:rPr>
        <w:t>營利事業所得稅查核準則第37條。</w:t>
      </w:r>
    </w:p>
    <w:p xmlns:wp14="http://schemas.microsoft.com/office/word/2010/wordml" w:rsidP="4EFE6CE1" wp14:paraId="0C8B71C2" wp14:textId="20DBD077">
      <w:pPr>
        <w:pStyle w:val="Normal"/>
        <w:spacing w:after="160" w:line="279" w:lineRule="auto"/>
        <w:jc w:val="left"/>
        <w:rPr>
          <w:noProof w:val="0"/>
          <w:lang w:val="en-US"/>
        </w:rPr>
      </w:pPr>
      <w:r w:rsidRPr="4EFE6CE1" w:rsidR="4EFE6CE1">
        <w:rPr>
          <w:noProof w:val="0"/>
          <w:lang w:val="en-US"/>
        </w:rPr>
        <w:t>原料、物料及商品之購進成本，以實際成本為準。</w:t>
      </w:r>
    </w:p>
    <w:p xmlns:wp14="http://schemas.microsoft.com/office/word/2010/wordml" w:rsidP="4EFE6CE1" wp14:paraId="38B07426" wp14:textId="1B3AB293">
      <w:pPr>
        <w:pStyle w:val="Normal"/>
        <w:rPr>
          <w:noProof w:val="0"/>
          <w:lang w:val="en-US"/>
        </w:rPr>
      </w:pPr>
      <w:r w:rsidRPr="4EFE6CE1" w:rsidR="4EFE6CE1">
        <w:rPr>
          <w:noProof w:val="0"/>
          <w:lang w:val="en-US"/>
        </w:rPr>
        <w:t>備註：</w:t>
      </w:r>
    </w:p>
    <w:p xmlns:wp14="http://schemas.microsoft.com/office/word/2010/wordml" w:rsidP="4EFE6CE1" wp14:paraId="7E0BB417" wp14:textId="2C728153">
      <w:pPr>
        <w:pStyle w:val="Normal"/>
        <w:rPr>
          <w:noProof w:val="0"/>
          <w:lang w:val="en-US"/>
        </w:rPr>
      </w:pPr>
      <w:r w:rsidRPr="4EFE6CE1" w:rsidR="4EFE6CE1">
        <w:rPr>
          <w:noProof w:val="0"/>
          <w:lang w:val="en-US"/>
        </w:rPr>
        <w:t>這裡的實際成本，包括取得之代價及因取得並為適於營業上使用而支付之一切必要費用。</w:t>
      </w:r>
    </w:p>
    <w:p xmlns:wp14="http://schemas.microsoft.com/office/word/2010/wordml" w:rsidP="4EFE6CE1" wp14:paraId="5CDCB8C3" wp14:textId="0BDFFFB7">
      <w:pPr>
        <w:pStyle w:val="Normal"/>
        <w:spacing w:after="160" w:line="279" w:lineRule="auto"/>
        <w:jc w:val="left"/>
        <w:rPr>
          <w:noProof w:val="0"/>
          <w:lang w:val="en-US"/>
        </w:rPr>
      </w:pPr>
    </w:p>
    <w:p xmlns:wp14="http://schemas.microsoft.com/office/word/2010/wordml" w:rsidP="4EFE6CE1" wp14:paraId="079606B8" wp14:textId="74B91CBD">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EFE6CE1" w:rsidR="4EFE6CE1">
        <w:rPr>
          <w:rFonts w:ascii="Aptos" w:hAnsi="Aptos" w:eastAsia="Aptos" w:cs="Aptos"/>
          <w:b w:val="0"/>
          <w:bCs w:val="0"/>
          <w:i w:val="0"/>
          <w:iCs w:val="0"/>
          <w:caps w:val="0"/>
          <w:smallCaps w:val="0"/>
          <w:noProof w:val="0"/>
          <w:color w:val="000000" w:themeColor="text1" w:themeTint="FF" w:themeShade="FF"/>
          <w:sz w:val="24"/>
          <w:szCs w:val="24"/>
          <w:lang w:val="en-US"/>
        </w:rPr>
        <w:t>法條內容：</w:t>
      </w:r>
    </w:p>
    <w:p xmlns:wp14="http://schemas.microsoft.com/office/word/2010/wordml" w:rsidP="4EFE6CE1" wp14:paraId="3E231F58" wp14:textId="2D7B2040">
      <w:pPr>
        <w:pStyle w:val="Normal"/>
        <w:rPr/>
      </w:pPr>
      <w:hyperlink r:id="R6d05d8c9deaa49a3">
        <w:r w:rsidRPr="4EFE6CE1" w:rsidR="4EFE6CE1">
          <w:rPr>
            <w:rStyle w:val="Hyperlink"/>
            <w:noProof w:val="0"/>
            <w:lang w:val="en-US"/>
          </w:rPr>
          <w:t>第 37 條</w:t>
        </w:r>
      </w:hyperlink>
    </w:p>
    <w:p xmlns:wp14="http://schemas.microsoft.com/office/word/2010/wordml" w:rsidP="4EFE6CE1" wp14:paraId="52E1DCAF" wp14:textId="378CC766">
      <w:pPr>
        <w:pStyle w:val="Normal"/>
        <w:rPr>
          <w:noProof w:val="0"/>
          <w:lang w:val="en-US"/>
        </w:rPr>
      </w:pPr>
      <w:r w:rsidRPr="4EFE6CE1" w:rsidR="4EFE6CE1">
        <w:rPr>
          <w:noProof w:val="0"/>
          <w:lang w:val="en-US"/>
        </w:rPr>
        <w:t>原料、物料及商品之購進成本，以實際成本為準。實際成本，包括取得之代價及因取得並為適於營業上使用而支付之一切必要費用</w:t>
      </w:r>
      <w:r w:rsidRPr="4EFE6CE1" w:rsidR="4EFE6CE1">
        <w:rPr>
          <w:noProof w:val="0"/>
          <w:lang w:val="en-US"/>
        </w:rPr>
        <w:t>。</w:t>
      </w:r>
    </w:p>
    <w:p xmlns:wp14="http://schemas.microsoft.com/office/word/2010/wordml" w:rsidP="4EFE6CE1" wp14:paraId="3E21304A" wp14:textId="74C6A22A">
      <w:pPr>
        <w:pStyle w:val="Normal"/>
        <w:rPr>
          <w:noProof w:val="0"/>
          <w:lang w:val="en-US"/>
        </w:rPr>
      </w:pPr>
    </w:p>
    <w:p xmlns:wp14="http://schemas.microsoft.com/office/word/2010/wordml" w:rsidP="4EFE6CE1" wp14:paraId="100B6562" wp14:textId="76CCA50F">
      <w:pPr>
        <w:pStyle w:val="Normal"/>
        <w:rPr>
          <w:noProof w:val="0"/>
          <w:lang w:val="en-US"/>
        </w:rPr>
      </w:pPr>
      <w:r w:rsidRPr="4EFE6CE1" w:rsidR="4EFE6CE1">
        <w:rPr>
          <w:noProof w:val="0"/>
          <w:lang w:val="en-US"/>
        </w:rPr>
        <w:t>2.</w:t>
      </w:r>
    </w:p>
    <w:p xmlns:wp14="http://schemas.microsoft.com/office/word/2010/wordml" w:rsidP="4EFE6CE1" wp14:paraId="60CD04B5" wp14:textId="4A313B7D">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EFE6CE1" w:rsidR="4EFE6CE1">
        <w:rPr>
          <w:rFonts w:ascii="Aptos" w:hAnsi="Aptos" w:eastAsia="Aptos" w:cs="Aptos"/>
          <w:b w:val="0"/>
          <w:bCs w:val="0"/>
          <w:i w:val="0"/>
          <w:iCs w:val="0"/>
          <w:caps w:val="0"/>
          <w:smallCaps w:val="0"/>
          <w:noProof w:val="0"/>
          <w:color w:val="000000" w:themeColor="text1" w:themeTint="FF" w:themeShade="FF"/>
          <w:sz w:val="24"/>
          <w:szCs w:val="24"/>
          <w:lang w:val="en-US"/>
        </w:rPr>
        <w:t>營利事業所得稅查核準則第38條第2項。</w:t>
      </w:r>
    </w:p>
    <w:p xmlns:wp14="http://schemas.microsoft.com/office/word/2010/wordml" w:rsidP="4EFE6CE1" wp14:paraId="21D271D5" wp14:textId="61BB796A">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EFE6CE1" w:rsidR="4EFE6CE1">
        <w:rPr>
          <w:rFonts w:ascii="Aptos" w:hAnsi="Aptos" w:eastAsia="Aptos" w:cs="Aptos"/>
          <w:b w:val="0"/>
          <w:bCs w:val="0"/>
          <w:i w:val="0"/>
          <w:iCs w:val="0"/>
          <w:caps w:val="0"/>
          <w:smallCaps w:val="0"/>
          <w:noProof w:val="0"/>
          <w:color w:val="000000" w:themeColor="text1" w:themeTint="FF" w:themeShade="FF"/>
          <w:sz w:val="24"/>
          <w:szCs w:val="24"/>
          <w:lang w:val="en-US"/>
        </w:rPr>
        <w:t>該法條提到在營利事業中，若未給予統一發票致使無法取得合法憑證的相關處罰。</w:t>
      </w:r>
    </w:p>
    <w:p xmlns:wp14="http://schemas.microsoft.com/office/word/2010/wordml" w:rsidP="4EFE6CE1" wp14:paraId="7CC0C3EE" wp14:textId="78C96DB1">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EFE6CE1" w:rsidR="4EFE6CE1">
        <w:rPr>
          <w:rFonts w:ascii="Aptos" w:hAnsi="Aptos" w:eastAsia="Aptos" w:cs="Aptos"/>
          <w:b w:val="0"/>
          <w:bCs w:val="0"/>
          <w:i w:val="0"/>
          <w:iCs w:val="0"/>
          <w:caps w:val="0"/>
          <w:smallCaps w:val="0"/>
          <w:noProof w:val="0"/>
          <w:color w:val="000000" w:themeColor="text1" w:themeTint="FF" w:themeShade="FF"/>
          <w:sz w:val="24"/>
          <w:szCs w:val="24"/>
          <w:lang w:val="en-US"/>
        </w:rPr>
        <w:t>若</w:t>
      </w:r>
    </w:p>
    <w:p xmlns:wp14="http://schemas.microsoft.com/office/word/2010/wordml" w:rsidP="4EFE6CE1" wp14:paraId="32AC6954" wp14:textId="2B14126E">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EFE6CE1" w:rsidR="4EFE6CE1">
        <w:rPr>
          <w:rFonts w:ascii="Aptos" w:hAnsi="Aptos" w:eastAsia="Aptos" w:cs="Aptos"/>
          <w:b w:val="0"/>
          <w:bCs w:val="0"/>
          <w:i w:val="0"/>
          <w:iCs w:val="0"/>
          <w:caps w:val="0"/>
          <w:smallCaps w:val="0"/>
          <w:noProof w:val="0"/>
          <w:color w:val="000000" w:themeColor="text1" w:themeTint="FF" w:themeShade="FF"/>
          <w:sz w:val="24"/>
          <w:szCs w:val="24"/>
          <w:lang w:val="en-US"/>
        </w:rPr>
        <w:t>法條內容：</w:t>
      </w:r>
    </w:p>
    <w:p xmlns:wp14="http://schemas.microsoft.com/office/word/2010/wordml" w:rsidP="4EFE6CE1" wp14:paraId="3C818DB4" wp14:textId="34280818">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4EFE6CE1" w:rsidR="4EFE6CE1">
        <w:rPr>
          <w:rFonts w:ascii="MingLiU" w:hAnsi="MingLiU" w:eastAsia="MingLiU" w:cs="MingLiU"/>
          <w:b w:val="0"/>
          <w:bCs w:val="0"/>
          <w:i w:val="0"/>
          <w:iCs w:val="0"/>
          <w:caps w:val="0"/>
          <w:smallCaps w:val="0"/>
          <w:noProof w:val="0"/>
          <w:color w:val="000000" w:themeColor="text1" w:themeTint="FF" w:themeShade="FF"/>
          <w:sz w:val="24"/>
          <w:szCs w:val="24"/>
          <w:lang w:val="en-US"/>
        </w:rPr>
        <w:t>第38條</w:t>
      </w:r>
    </w:p>
    <w:p xmlns:wp14="http://schemas.microsoft.com/office/word/2010/wordml" w:rsidP="4EFE6CE1" wp14:paraId="48522BAE" wp14:textId="3AD852FA">
      <w:pPr>
        <w:pStyle w:val="Normal"/>
        <w:rPr>
          <w:rFonts w:ascii="Calibri" w:hAnsi="Calibri" w:eastAsia="Calibri" w:cs="Calibri"/>
          <w:noProof w:val="0"/>
          <w:sz w:val="24"/>
          <w:szCs w:val="24"/>
          <w:lang w:val="en-US"/>
        </w:rPr>
      </w:pPr>
      <w:r w:rsidRPr="4EFE6CE1" w:rsidR="4EFE6CE1">
        <w:rPr>
          <w:rFonts w:ascii="MingLiU" w:hAnsi="MingLiU" w:eastAsia="MingLiU" w:cs="MingLiU"/>
          <w:b w:val="0"/>
          <w:bCs w:val="0"/>
          <w:i w:val="0"/>
          <w:iCs w:val="0"/>
          <w:caps w:val="0"/>
          <w:smallCaps w:val="0"/>
          <w:noProof w:val="0"/>
          <w:color w:val="000000" w:themeColor="text1" w:themeTint="FF" w:themeShade="FF"/>
          <w:sz w:val="24"/>
          <w:szCs w:val="24"/>
          <w:lang w:val="en-US"/>
        </w:rPr>
        <w:t>營利事業如因交易相對人應給與而未給與統一發票，致無法取得合法憑證，其已誠實入帳，能提示送貨單及支付貨款證明，經稽徵機關查明屬實者，准按實際進貨價格核定成本，並依稅捐稽徵法第四十四條規定處罰。但其於稽徵機關發現前由會計師簽證揭露或自行於申報書揭露者，免予處罰。交易相對人涉嫌違章部分，則應依法辦理。</w:t>
      </w:r>
    </w:p>
    <w:p xmlns:wp14="http://schemas.microsoft.com/office/word/2010/wordml" w:rsidP="4EFE6CE1" wp14:paraId="6370E99A" wp14:textId="446EC08D">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36"/>
          <w:szCs w:val="36"/>
          <w:lang w:val="en-US"/>
        </w:rPr>
      </w:pPr>
    </w:p>
    <w:p xmlns:wp14="http://schemas.microsoft.com/office/word/2010/wordml" w:rsidP="4EFE6CE1" wp14:paraId="7D993771" wp14:textId="690FD5DA">
      <w:pPr>
        <w:pStyle w:val="Normal"/>
        <w:rPr/>
      </w:pP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bordersDoNotSurroundHeader/>
  <w:bordersDoNotSurroundFooter/>
  <w:trackRevisions w:val="false"/>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4EB2BA"/>
    <w:rsid w:val="224EB2BA"/>
    <w:rsid w:val="4EFE6CE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EB2BA"/>
  <w15:chartTrackingRefBased/>
  <w15:docId w15:val="{1524E454-920B-4103-A8CC-3D020F5CA0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aw.moj.gov.tw/LawClass/LawSingle.aspx?pcode=G0340051&amp;flno=37" TargetMode="External" Id="R6d05d8c9deaa49a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2024-01-27T01:46:25.8281611Z</dcterms:created>
  <dcterms:modified xsi:type="dcterms:W3CDTF">2024-03-31T01:27:56.0624088Z</dcterms:modified>
  <dc:creator>黃 奕捷</dc:creator>
  <lastModifiedBy>奕捷 黃</lastModifiedBy>
</coreProperties>
</file>