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4EFE6CE1" wp14:paraId="5D06F65E" wp14:textId="45AF723A">
      <w:pPr>
        <w:spacing w:after="160" w:line="279" w:lineRule="auto"/>
        <w:jc w:val="center"/>
        <w:rPr>
          <w:rFonts w:ascii="Calibri" w:hAnsi="Calibri" w:eastAsia="Calibri" w:cs="Calibri"/>
          <w:noProof w:val="0"/>
          <w:sz w:val="24"/>
          <w:szCs w:val="24"/>
          <w:lang w:val="en-US"/>
        </w:rPr>
      </w:pPr>
      <w:r w:rsidRPr="4EFE6CE1" w:rsidR="4EFE6CE1">
        <w:rPr>
          <w:rFonts w:ascii="Aptos" w:hAnsi="Aptos" w:eastAsia="Aptos" w:cs="Aptos"/>
          <w:b w:val="0"/>
          <w:bCs w:val="0"/>
          <w:i w:val="0"/>
          <w:iCs w:val="0"/>
          <w:caps w:val="0"/>
          <w:smallCaps w:val="0"/>
          <w:noProof w:val="0"/>
          <w:color w:val="000000" w:themeColor="text1" w:themeTint="FF" w:themeShade="FF"/>
          <w:sz w:val="72"/>
          <w:szCs w:val="72"/>
          <w:lang w:val="en-US"/>
        </w:rPr>
        <w:t>營利事業所得額</w:t>
      </w:r>
      <w:r w:rsidRPr="4EFE6CE1" w:rsidR="4EFE6CE1">
        <w:rPr>
          <w:rFonts w:ascii="Aptos" w:hAnsi="Aptos" w:eastAsia="Aptos" w:cs="Aptos"/>
          <w:b w:val="0"/>
          <w:bCs w:val="0"/>
          <w:i w:val="0"/>
          <w:iCs w:val="0"/>
          <w:caps w:val="0"/>
          <w:smallCaps w:val="0"/>
          <w:noProof w:val="0"/>
          <w:color w:val="000000" w:themeColor="text1" w:themeTint="FF" w:themeShade="FF"/>
          <w:sz w:val="72"/>
          <w:szCs w:val="72"/>
          <w:lang w:val="en-US"/>
        </w:rPr>
        <w:t xml:space="preserve"> --</w:t>
      </w:r>
      <w:r w:rsidRPr="4EFE6CE1" w:rsidR="4EFE6CE1">
        <w:rPr>
          <w:rFonts w:ascii="Aptos" w:hAnsi="Aptos" w:eastAsia="Aptos" w:cs="Aptos"/>
          <w:b w:val="0"/>
          <w:bCs w:val="0"/>
          <w:i w:val="0"/>
          <w:iCs w:val="0"/>
          <w:caps w:val="0"/>
          <w:smallCaps w:val="0"/>
          <w:noProof w:val="0"/>
          <w:color w:val="000000" w:themeColor="text1" w:themeTint="FF" w:themeShade="FF"/>
          <w:sz w:val="72"/>
          <w:szCs w:val="72"/>
          <w:lang w:val="en-US"/>
        </w:rPr>
        <w:t>成本</w:t>
      </w:r>
      <w:r w:rsidRPr="4EFE6CE1" w:rsidR="4EFE6CE1">
        <w:rPr>
          <w:rFonts w:ascii="Aptos" w:hAnsi="Aptos" w:eastAsia="Aptos" w:cs="Aptos"/>
          <w:b w:val="0"/>
          <w:bCs w:val="0"/>
          <w:i w:val="0"/>
          <w:iCs w:val="0"/>
          <w:caps w:val="0"/>
          <w:smallCaps w:val="0"/>
          <w:noProof w:val="0"/>
          <w:color w:val="000000" w:themeColor="text1" w:themeTint="FF" w:themeShade="FF"/>
          <w:sz w:val="72"/>
          <w:szCs w:val="72"/>
          <w:lang w:val="en-US"/>
        </w:rPr>
        <w:t>篇</w:t>
      </w:r>
    </w:p>
    <w:p xmlns:wp14="http://schemas.microsoft.com/office/word/2010/wordml" w:rsidP="4EFE6CE1" wp14:paraId="59064F6D" wp14:textId="75D6BF0B">
      <w:pPr>
        <w:pStyle w:val="Normal"/>
        <w:spacing w:after="160" w:line="279" w:lineRule="auto"/>
        <w:jc w:val="left"/>
        <w:rPr>
          <w:rFonts w:ascii="Aptos" w:hAnsi="Aptos" w:eastAsia="Aptos" w:cs="Aptos"/>
          <w:b w:val="0"/>
          <w:bCs w:val="0"/>
          <w:i w:val="0"/>
          <w:iCs w:val="0"/>
          <w:caps w:val="0"/>
          <w:smallCaps w:val="0"/>
          <w:noProof w:val="0"/>
          <w:color w:val="000000" w:themeColor="text1" w:themeTint="FF" w:themeShade="FF"/>
          <w:sz w:val="52"/>
          <w:szCs w:val="52"/>
          <w:lang w:val="en-US"/>
        </w:rPr>
      </w:pPr>
      <w:r w:rsidRPr="4EFE6CE1" w:rsidR="4EFE6CE1">
        <w:rPr>
          <w:rFonts w:ascii="Aptos" w:hAnsi="Aptos" w:eastAsia="Aptos" w:cs="Aptos"/>
          <w:b w:val="0"/>
          <w:bCs w:val="0"/>
          <w:i w:val="0"/>
          <w:iCs w:val="0"/>
          <w:caps w:val="0"/>
          <w:smallCaps w:val="0"/>
          <w:noProof w:val="0"/>
          <w:color w:val="000000" w:themeColor="text1" w:themeTint="FF" w:themeShade="FF"/>
          <w:sz w:val="52"/>
          <w:szCs w:val="52"/>
          <w:lang w:val="en-US"/>
        </w:rPr>
        <w:t>進貨成本</w:t>
      </w:r>
    </w:p>
    <w:p xmlns:wp14="http://schemas.microsoft.com/office/word/2010/wordml" w:rsidP="4EFE6CE1" wp14:paraId="3587FD2F" wp14:textId="2EBF1415">
      <w:pPr>
        <w:pStyle w:val="Normal"/>
        <w:spacing w:after="160" w:line="279" w:lineRule="auto"/>
        <w:jc w:val="left"/>
        <w:rPr>
          <w:rFonts w:ascii="Aptos" w:hAnsi="Aptos" w:eastAsia="Aptos" w:cs="Aptos"/>
          <w:b w:val="0"/>
          <w:bCs w:val="0"/>
          <w:i w:val="0"/>
          <w:iCs w:val="0"/>
          <w:caps w:val="0"/>
          <w:smallCaps w:val="0"/>
          <w:noProof w:val="0"/>
          <w:color w:val="000000" w:themeColor="text1" w:themeTint="FF" w:themeShade="FF"/>
          <w:sz w:val="36"/>
          <w:szCs w:val="36"/>
          <w:lang w:val="en-US"/>
        </w:rPr>
      </w:pPr>
      <w:r w:rsidRPr="4EFE6CE1" w:rsidR="4EFE6CE1">
        <w:rPr>
          <w:rFonts w:ascii="Aptos" w:hAnsi="Aptos" w:eastAsia="Aptos" w:cs="Aptos"/>
          <w:b w:val="0"/>
          <w:bCs w:val="0"/>
          <w:i w:val="0"/>
          <w:iCs w:val="0"/>
          <w:caps w:val="0"/>
          <w:smallCaps w:val="0"/>
          <w:noProof w:val="0"/>
          <w:color w:val="000000" w:themeColor="text1" w:themeTint="FF" w:themeShade="FF"/>
          <w:sz w:val="36"/>
          <w:szCs w:val="36"/>
          <w:lang w:val="en-US"/>
        </w:rPr>
        <w:t>法條</w:t>
      </w:r>
    </w:p>
    <w:p xmlns:wp14="http://schemas.microsoft.com/office/word/2010/wordml" w:rsidP="4EFE6CE1" wp14:paraId="594F6ED6" wp14:textId="0126A3B4">
      <w:pPr>
        <w:pStyle w:val="Normal"/>
        <w:spacing w:after="160" w:line="279" w:lineRule="auto"/>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4EFE6CE1" w:rsidR="4EFE6CE1">
        <w:rPr>
          <w:rFonts w:ascii="Aptos" w:hAnsi="Aptos" w:eastAsia="Aptos" w:cs="Aptos"/>
          <w:b w:val="0"/>
          <w:bCs w:val="0"/>
          <w:i w:val="0"/>
          <w:iCs w:val="0"/>
          <w:caps w:val="0"/>
          <w:smallCaps w:val="0"/>
          <w:noProof w:val="0"/>
          <w:color w:val="000000" w:themeColor="text1" w:themeTint="FF" w:themeShade="FF"/>
          <w:sz w:val="24"/>
          <w:szCs w:val="24"/>
          <w:lang w:val="en-US"/>
        </w:rPr>
        <w:t>1.</w:t>
      </w:r>
    </w:p>
    <w:p xmlns:wp14="http://schemas.microsoft.com/office/word/2010/wordml" w:rsidP="4EFE6CE1" wp14:paraId="1A26B503" wp14:textId="01F67C2F">
      <w:pPr>
        <w:pStyle w:val="Normal"/>
        <w:spacing w:after="160" w:line="279" w:lineRule="auto"/>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4EFE6CE1" w:rsidR="4EFE6CE1">
        <w:rPr>
          <w:rFonts w:ascii="Aptos" w:hAnsi="Aptos" w:eastAsia="Aptos" w:cs="Aptos"/>
          <w:b w:val="0"/>
          <w:bCs w:val="0"/>
          <w:i w:val="0"/>
          <w:iCs w:val="0"/>
          <w:caps w:val="0"/>
          <w:smallCaps w:val="0"/>
          <w:noProof w:val="0"/>
          <w:color w:val="000000" w:themeColor="text1" w:themeTint="FF" w:themeShade="FF"/>
          <w:sz w:val="24"/>
          <w:szCs w:val="24"/>
          <w:lang w:val="en-US"/>
        </w:rPr>
        <w:t>營利事業所得稅查核準則第37條。</w:t>
      </w:r>
    </w:p>
    <w:p xmlns:wp14="http://schemas.microsoft.com/office/word/2010/wordml" w:rsidP="4EFE6CE1" wp14:paraId="0C8B71C2" wp14:textId="20DBD077">
      <w:pPr>
        <w:pStyle w:val="Normal"/>
        <w:spacing w:after="160" w:line="279" w:lineRule="auto"/>
        <w:jc w:val="left"/>
        <w:rPr>
          <w:noProof w:val="0"/>
          <w:lang w:val="en-US"/>
        </w:rPr>
      </w:pPr>
      <w:r w:rsidRPr="4EFE6CE1" w:rsidR="4EFE6CE1">
        <w:rPr>
          <w:noProof w:val="0"/>
          <w:lang w:val="en-US"/>
        </w:rPr>
        <w:t>原料、物料及商品之購進成本，以實際成本為準。</w:t>
      </w:r>
    </w:p>
    <w:p xmlns:wp14="http://schemas.microsoft.com/office/word/2010/wordml" w:rsidP="4EFE6CE1" wp14:paraId="38B07426" wp14:textId="1B3AB293">
      <w:pPr>
        <w:pStyle w:val="Normal"/>
        <w:rPr>
          <w:noProof w:val="0"/>
          <w:lang w:val="en-US"/>
        </w:rPr>
      </w:pPr>
      <w:r w:rsidRPr="4EFE6CE1" w:rsidR="4EFE6CE1">
        <w:rPr>
          <w:noProof w:val="0"/>
          <w:lang w:val="en-US"/>
        </w:rPr>
        <w:t>備註：</w:t>
      </w:r>
    </w:p>
    <w:p xmlns:wp14="http://schemas.microsoft.com/office/word/2010/wordml" w:rsidP="4EFE6CE1" wp14:paraId="7E0BB417" wp14:textId="2C728153">
      <w:pPr>
        <w:pStyle w:val="Normal"/>
        <w:rPr>
          <w:noProof w:val="0"/>
          <w:lang w:val="en-US"/>
        </w:rPr>
      </w:pPr>
      <w:r w:rsidRPr="4EFE6CE1" w:rsidR="4EFE6CE1">
        <w:rPr>
          <w:noProof w:val="0"/>
          <w:lang w:val="en-US"/>
        </w:rPr>
        <w:t>這裡的實際成本，包括取得之代價及因取得並為適於營業上使用而支付之一切必要費用。</w:t>
      </w:r>
    </w:p>
    <w:p xmlns:wp14="http://schemas.microsoft.com/office/word/2010/wordml" w:rsidP="4EFE6CE1" wp14:paraId="5CDCB8C3" wp14:textId="0BDFFFB7">
      <w:pPr>
        <w:pStyle w:val="Normal"/>
        <w:spacing w:after="160" w:line="279" w:lineRule="auto"/>
        <w:jc w:val="left"/>
        <w:rPr>
          <w:noProof w:val="0"/>
          <w:lang w:val="en-US"/>
        </w:rPr>
      </w:pPr>
    </w:p>
    <w:p xmlns:wp14="http://schemas.microsoft.com/office/word/2010/wordml" w:rsidP="4EFE6CE1" wp14:paraId="079606B8" wp14:textId="74B91CBD">
      <w:pPr>
        <w:pStyle w:val="Normal"/>
        <w:spacing w:after="160" w:line="279" w:lineRule="auto"/>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4EFE6CE1" w:rsidR="4EFE6CE1">
        <w:rPr>
          <w:rFonts w:ascii="Aptos" w:hAnsi="Aptos" w:eastAsia="Aptos" w:cs="Aptos"/>
          <w:b w:val="0"/>
          <w:bCs w:val="0"/>
          <w:i w:val="0"/>
          <w:iCs w:val="0"/>
          <w:caps w:val="0"/>
          <w:smallCaps w:val="0"/>
          <w:noProof w:val="0"/>
          <w:color w:val="000000" w:themeColor="text1" w:themeTint="FF" w:themeShade="FF"/>
          <w:sz w:val="24"/>
          <w:szCs w:val="24"/>
          <w:lang w:val="en-US"/>
        </w:rPr>
        <w:t>法條內容：</w:t>
      </w:r>
    </w:p>
    <w:p xmlns:wp14="http://schemas.microsoft.com/office/word/2010/wordml" w:rsidP="4EFE6CE1" wp14:paraId="3E231F58" wp14:textId="2D7B2040">
      <w:pPr>
        <w:pStyle w:val="Normal"/>
        <w:rPr/>
      </w:pPr>
      <w:hyperlink r:id="R6d05d8c9deaa49a3">
        <w:r w:rsidRPr="4EFE6CE1" w:rsidR="4EFE6CE1">
          <w:rPr>
            <w:rStyle w:val="Hyperlink"/>
            <w:noProof w:val="0"/>
            <w:lang w:val="en-US"/>
          </w:rPr>
          <w:t>第 37 條</w:t>
        </w:r>
      </w:hyperlink>
    </w:p>
    <w:p xmlns:wp14="http://schemas.microsoft.com/office/word/2010/wordml" w:rsidP="4EFE6CE1" wp14:paraId="52E1DCAF" wp14:textId="378CC766">
      <w:pPr>
        <w:pStyle w:val="Normal"/>
        <w:rPr>
          <w:noProof w:val="0"/>
          <w:lang w:val="en-US"/>
        </w:rPr>
      </w:pPr>
      <w:r w:rsidRPr="4EFE6CE1" w:rsidR="4EFE6CE1">
        <w:rPr>
          <w:noProof w:val="0"/>
          <w:lang w:val="en-US"/>
        </w:rPr>
        <w:t>原料、物料及商品之購進成本，以實際成本為準。實際成本，包括取得之代價及因取得並為適於營業上使用而支付之一切必要費用</w:t>
      </w:r>
      <w:r w:rsidRPr="4EFE6CE1" w:rsidR="4EFE6CE1">
        <w:rPr>
          <w:noProof w:val="0"/>
          <w:lang w:val="en-US"/>
        </w:rPr>
        <w:t>。</w:t>
      </w:r>
    </w:p>
    <w:p xmlns:wp14="http://schemas.microsoft.com/office/word/2010/wordml" w:rsidP="4EFE6CE1" wp14:paraId="3E21304A" wp14:textId="74C6A22A">
      <w:pPr>
        <w:pStyle w:val="Normal"/>
        <w:rPr>
          <w:noProof w:val="0"/>
          <w:lang w:val="en-US"/>
        </w:rPr>
      </w:pPr>
    </w:p>
    <w:p xmlns:wp14="http://schemas.microsoft.com/office/word/2010/wordml" w:rsidP="4EFE6CE1" wp14:paraId="100B6562" wp14:textId="76CCA50F">
      <w:pPr>
        <w:pStyle w:val="Normal"/>
        <w:rPr>
          <w:noProof w:val="0"/>
          <w:lang w:val="en-US"/>
        </w:rPr>
      </w:pPr>
      <w:r w:rsidRPr="4EFE6CE1" w:rsidR="4EFE6CE1">
        <w:rPr>
          <w:noProof w:val="0"/>
          <w:lang w:val="en-US"/>
        </w:rPr>
        <w:t>2.</w:t>
      </w:r>
    </w:p>
    <w:p xmlns:wp14="http://schemas.microsoft.com/office/word/2010/wordml" w:rsidP="4EFE6CE1" wp14:paraId="60CD04B5" wp14:textId="4A313B7D">
      <w:pPr>
        <w:pStyle w:val="Normal"/>
        <w:spacing w:after="160" w:line="279" w:lineRule="auto"/>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4EFE6CE1" w:rsidR="4EFE6CE1">
        <w:rPr>
          <w:rFonts w:ascii="Aptos" w:hAnsi="Aptos" w:eastAsia="Aptos" w:cs="Aptos"/>
          <w:b w:val="0"/>
          <w:bCs w:val="0"/>
          <w:i w:val="0"/>
          <w:iCs w:val="0"/>
          <w:caps w:val="0"/>
          <w:smallCaps w:val="0"/>
          <w:noProof w:val="0"/>
          <w:color w:val="000000" w:themeColor="text1" w:themeTint="FF" w:themeShade="FF"/>
          <w:sz w:val="24"/>
          <w:szCs w:val="24"/>
          <w:lang w:val="en-US"/>
        </w:rPr>
        <w:t>營利事業所得稅查核準則第38條第2項。</w:t>
      </w:r>
    </w:p>
    <w:p xmlns:wp14="http://schemas.microsoft.com/office/word/2010/wordml" w:rsidP="4EFE6CE1" wp14:paraId="21D271D5" wp14:textId="61BB796A">
      <w:pPr>
        <w:pStyle w:val="Normal"/>
        <w:spacing w:after="160" w:line="279" w:lineRule="auto"/>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4EFE6CE1" w:rsidR="4EFE6CE1">
        <w:rPr>
          <w:rFonts w:ascii="Aptos" w:hAnsi="Aptos" w:eastAsia="Aptos" w:cs="Aptos"/>
          <w:b w:val="0"/>
          <w:bCs w:val="0"/>
          <w:i w:val="0"/>
          <w:iCs w:val="0"/>
          <w:caps w:val="0"/>
          <w:smallCaps w:val="0"/>
          <w:noProof w:val="0"/>
          <w:color w:val="000000" w:themeColor="text1" w:themeTint="FF" w:themeShade="FF"/>
          <w:sz w:val="24"/>
          <w:szCs w:val="24"/>
          <w:lang w:val="en-US"/>
        </w:rPr>
        <w:t>該法條提到在營利事業中，若未給予統一發票致使無法取得合法憑證的相關處罰。</w:t>
      </w:r>
    </w:p>
    <w:p xmlns:wp14="http://schemas.microsoft.com/office/word/2010/wordml" w:rsidP="4EFE6CE1" wp14:paraId="7CC0C3EE" wp14:textId="78C96DB1">
      <w:pPr>
        <w:pStyle w:val="Normal"/>
        <w:spacing w:after="160" w:line="279" w:lineRule="auto"/>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4EFE6CE1" w:rsidR="4EFE6CE1">
        <w:rPr>
          <w:rFonts w:ascii="Aptos" w:hAnsi="Aptos" w:eastAsia="Aptos" w:cs="Aptos"/>
          <w:b w:val="0"/>
          <w:bCs w:val="0"/>
          <w:i w:val="0"/>
          <w:iCs w:val="0"/>
          <w:caps w:val="0"/>
          <w:smallCaps w:val="0"/>
          <w:noProof w:val="0"/>
          <w:color w:val="000000" w:themeColor="text1" w:themeTint="FF" w:themeShade="FF"/>
          <w:sz w:val="24"/>
          <w:szCs w:val="24"/>
          <w:lang w:val="en-US"/>
        </w:rPr>
        <w:t>若</w:t>
      </w:r>
    </w:p>
    <w:p xmlns:wp14="http://schemas.microsoft.com/office/word/2010/wordml" w:rsidP="4EFE6CE1" wp14:paraId="32AC6954" wp14:textId="2B14126E">
      <w:pPr>
        <w:pStyle w:val="Normal"/>
        <w:spacing w:after="160" w:line="279" w:lineRule="auto"/>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4EFE6CE1" w:rsidR="4EFE6CE1">
        <w:rPr>
          <w:rFonts w:ascii="Aptos" w:hAnsi="Aptos" w:eastAsia="Aptos" w:cs="Aptos"/>
          <w:b w:val="0"/>
          <w:bCs w:val="0"/>
          <w:i w:val="0"/>
          <w:iCs w:val="0"/>
          <w:caps w:val="0"/>
          <w:smallCaps w:val="0"/>
          <w:noProof w:val="0"/>
          <w:color w:val="000000" w:themeColor="text1" w:themeTint="FF" w:themeShade="FF"/>
          <w:sz w:val="24"/>
          <w:szCs w:val="24"/>
          <w:lang w:val="en-US"/>
        </w:rPr>
        <w:t>法條內容：</w:t>
      </w:r>
    </w:p>
    <w:p xmlns:wp14="http://schemas.microsoft.com/office/word/2010/wordml" w:rsidP="4EFE6CE1" wp14:paraId="3C818DB4" wp14:textId="34280818">
      <w:pPr>
        <w:pStyle w:val="Normal"/>
        <w:rPr>
          <w:rFonts w:ascii="MingLiU" w:hAnsi="MingLiU" w:eastAsia="MingLiU" w:cs="MingLiU"/>
          <w:b w:val="0"/>
          <w:bCs w:val="0"/>
          <w:i w:val="0"/>
          <w:iCs w:val="0"/>
          <w:caps w:val="0"/>
          <w:smallCaps w:val="0"/>
          <w:noProof w:val="0"/>
          <w:color w:val="000000" w:themeColor="text1" w:themeTint="FF" w:themeShade="FF"/>
          <w:sz w:val="24"/>
          <w:szCs w:val="24"/>
          <w:lang w:val="en-US"/>
        </w:rPr>
      </w:pPr>
      <w:r w:rsidRPr="4EFE6CE1" w:rsidR="4EFE6CE1">
        <w:rPr>
          <w:rFonts w:ascii="MingLiU" w:hAnsi="MingLiU" w:eastAsia="MingLiU" w:cs="MingLiU"/>
          <w:b w:val="0"/>
          <w:bCs w:val="0"/>
          <w:i w:val="0"/>
          <w:iCs w:val="0"/>
          <w:caps w:val="0"/>
          <w:smallCaps w:val="0"/>
          <w:noProof w:val="0"/>
          <w:color w:val="000000" w:themeColor="text1" w:themeTint="FF" w:themeShade="FF"/>
          <w:sz w:val="24"/>
          <w:szCs w:val="24"/>
          <w:lang w:val="en-US"/>
        </w:rPr>
        <w:t>第38條</w:t>
      </w:r>
    </w:p>
    <w:p xmlns:wp14="http://schemas.microsoft.com/office/word/2010/wordml" w:rsidP="4EFE6CE1" wp14:paraId="48522BAE" wp14:textId="3AD852FA">
      <w:pPr>
        <w:pStyle w:val="Normal"/>
        <w:rPr>
          <w:rFonts w:ascii="Calibri" w:hAnsi="Calibri" w:eastAsia="Calibri" w:cs="Calibri"/>
          <w:noProof w:val="0"/>
          <w:sz w:val="24"/>
          <w:szCs w:val="24"/>
          <w:lang w:val="en-US"/>
        </w:rPr>
      </w:pPr>
      <w:r w:rsidRPr="4EFE6CE1" w:rsidR="4EFE6CE1">
        <w:rPr>
          <w:rFonts w:ascii="MingLiU" w:hAnsi="MingLiU" w:eastAsia="MingLiU" w:cs="MingLiU"/>
          <w:b w:val="0"/>
          <w:bCs w:val="0"/>
          <w:i w:val="0"/>
          <w:iCs w:val="0"/>
          <w:caps w:val="0"/>
          <w:smallCaps w:val="0"/>
          <w:noProof w:val="0"/>
          <w:color w:val="000000" w:themeColor="text1" w:themeTint="FF" w:themeShade="FF"/>
          <w:sz w:val="24"/>
          <w:szCs w:val="24"/>
          <w:lang w:val="en-US"/>
        </w:rPr>
        <w:t>營利事業如因交易相對人應給與而未給與統一發票，致無法取得合法憑證，其已誠實入帳，能提示送貨單及支付貨款證明，經稽徵機關查明屬實者，准按實際進貨價格核定成本，並依稅捐稽徵法第四十四條規定處罰。但其於稽徵機關發現前由會計師簽證揭露或自行於申報書揭露者，免予處罰。交易相對人涉嫌違章部分，則應依法辦理。</w:t>
      </w:r>
    </w:p>
    <w:p xmlns:wp14="http://schemas.microsoft.com/office/word/2010/wordml" w:rsidP="4EFE6CE1" wp14:paraId="6370E99A" wp14:textId="446EC08D">
      <w:pPr>
        <w:pStyle w:val="Normal"/>
        <w:spacing w:after="160" w:line="279" w:lineRule="auto"/>
        <w:jc w:val="left"/>
        <w:rPr>
          <w:rFonts w:ascii="Aptos" w:hAnsi="Aptos" w:eastAsia="Aptos" w:cs="Aptos"/>
          <w:b w:val="0"/>
          <w:bCs w:val="0"/>
          <w:i w:val="0"/>
          <w:iCs w:val="0"/>
          <w:caps w:val="0"/>
          <w:smallCaps w:val="0"/>
          <w:noProof w:val="0"/>
          <w:color w:val="000000" w:themeColor="text1" w:themeTint="FF" w:themeShade="FF"/>
          <w:sz w:val="36"/>
          <w:szCs w:val="36"/>
          <w:lang w:val="en-US"/>
        </w:rPr>
      </w:pPr>
    </w:p>
    <w:p xmlns:wp14="http://schemas.microsoft.com/office/word/2010/wordml" w:rsidP="4EFE6CE1" wp14:paraId="7D993771" wp14:textId="34EC66CE">
      <w:pPr>
        <w:pStyle w:val="Normal"/>
        <w:rPr/>
      </w:pPr>
      <w:r w:rsidRPr="28975F60" w:rsidR="28975F60">
        <w:rPr>
          <w:sz w:val="52"/>
          <w:szCs w:val="52"/>
        </w:rPr>
        <w:t>進料成本</w:t>
      </w:r>
    </w:p>
    <w:p w:rsidR="28975F60" w:rsidP="28975F60" w:rsidRDefault="28975F60" w14:paraId="36EED576" w14:textId="1D32F7A4">
      <w:pPr>
        <w:pStyle w:val="Normal"/>
        <w:rPr>
          <w:sz w:val="52"/>
          <w:szCs w:val="52"/>
        </w:rPr>
      </w:pPr>
      <w:r w:rsidRPr="28975F60" w:rsidR="28975F60">
        <w:rPr>
          <w:sz w:val="24"/>
          <w:szCs w:val="24"/>
        </w:rPr>
        <w:t>詳見，上方。</w:t>
      </w:r>
    </w:p>
    <w:p w:rsidR="28975F60" w:rsidP="28975F60" w:rsidRDefault="28975F60" w14:paraId="7E85FF7F" w14:textId="07726A56">
      <w:pPr>
        <w:pStyle w:val="Normal"/>
        <w:rPr>
          <w:sz w:val="52"/>
          <w:szCs w:val="52"/>
        </w:rPr>
      </w:pPr>
    </w:p>
    <w:p w:rsidR="28975F60" w:rsidP="28975F60" w:rsidRDefault="28975F60" w14:paraId="1BBAD676" w14:textId="6FF3B822">
      <w:pPr>
        <w:pStyle w:val="Normal"/>
        <w:rPr>
          <w:sz w:val="52"/>
          <w:szCs w:val="52"/>
        </w:rPr>
      </w:pPr>
      <w:r w:rsidRPr="28975F60" w:rsidR="28975F60">
        <w:rPr>
          <w:sz w:val="52"/>
          <w:szCs w:val="52"/>
        </w:rPr>
        <w:t>存貨成本</w:t>
      </w:r>
    </w:p>
    <w:p w:rsidR="28975F60" w:rsidP="28975F60" w:rsidRDefault="28975F60" w14:paraId="65681A7A" w14:textId="531D3180">
      <w:pPr>
        <w:pStyle w:val="Normal"/>
        <w:rPr>
          <w:sz w:val="36"/>
          <w:szCs w:val="36"/>
        </w:rPr>
      </w:pPr>
      <w:r w:rsidRPr="28975F60" w:rsidR="28975F60">
        <w:rPr>
          <w:sz w:val="36"/>
          <w:szCs w:val="36"/>
        </w:rPr>
        <w:t>估價</w:t>
      </w:r>
    </w:p>
    <w:p w:rsidR="28975F60" w:rsidP="28975F60" w:rsidRDefault="28975F60" w14:paraId="792C7E9D" w14:textId="5538449E">
      <w:pPr>
        <w:pStyle w:val="Normal"/>
        <w:rPr>
          <w:sz w:val="32"/>
          <w:szCs w:val="32"/>
        </w:rPr>
      </w:pPr>
      <w:r w:rsidRPr="28975F60" w:rsidR="28975F60">
        <w:rPr>
          <w:sz w:val="32"/>
          <w:szCs w:val="32"/>
        </w:rPr>
        <w:t>成本和淨變現價值孰低法</w:t>
      </w:r>
    </w:p>
    <w:p w:rsidR="28975F60" w:rsidP="28975F60" w:rsidRDefault="28975F60" w14:paraId="1AC3F191" w14:textId="60BDF593">
      <w:pPr>
        <w:pStyle w:val="Normal"/>
        <w:rPr>
          <w:noProof w:val="0"/>
          <w:lang w:val="en-US"/>
        </w:rPr>
      </w:pPr>
      <w:r w:rsidRPr="28975F60" w:rsidR="28975F60">
        <w:rPr>
          <w:noProof w:val="0"/>
          <w:lang w:val="en-US"/>
        </w:rPr>
        <w:t>法條：</w:t>
      </w:r>
    </w:p>
    <w:p w:rsidR="28975F60" w:rsidP="28975F60" w:rsidRDefault="28975F60" w14:paraId="7D036AFE" w14:textId="7345E9D9">
      <w:pPr>
        <w:pStyle w:val="ListParagraph"/>
        <w:numPr>
          <w:ilvl w:val="0"/>
          <w:numId w:val="1"/>
        </w:numPr>
        <w:rPr>
          <w:noProof w:val="0"/>
          <w:lang w:val="en-US"/>
        </w:rPr>
      </w:pPr>
      <w:r w:rsidRPr="28975F60" w:rsidR="28975F60">
        <w:rPr>
          <w:noProof w:val="0"/>
          <w:lang w:val="en-US"/>
        </w:rPr>
        <w:t>所得稅法第44條。</w:t>
      </w:r>
    </w:p>
    <w:p w:rsidR="28975F60" w:rsidP="28975F60" w:rsidRDefault="28975F60" w14:paraId="6A2C52DD" w14:textId="69BB6A43">
      <w:pPr>
        <w:pStyle w:val="Normal"/>
        <w:rPr>
          <w:noProof w:val="0"/>
          <w:lang w:val="en-US"/>
        </w:rPr>
      </w:pPr>
    </w:p>
    <w:p w:rsidR="28975F60" w:rsidP="28975F60" w:rsidRDefault="28975F60" w14:paraId="5F74B83A" w14:textId="518D36F5">
      <w:pPr>
        <w:pStyle w:val="Normal"/>
        <w:rPr>
          <w:noProof w:val="0"/>
          <w:lang w:val="en-US"/>
        </w:rPr>
      </w:pPr>
      <w:r w:rsidRPr="28975F60" w:rsidR="28975F60">
        <w:rPr>
          <w:noProof w:val="0"/>
          <w:lang w:val="en-US"/>
        </w:rPr>
        <w:t>法條內容：</w:t>
      </w:r>
    </w:p>
    <w:p w:rsidR="28975F60" w:rsidP="28975F60" w:rsidRDefault="28975F60" w14:paraId="4D8476F0" w14:textId="73A14F82">
      <w:pPr>
        <w:pStyle w:val="Normal"/>
        <w:rPr/>
      </w:pPr>
      <w:hyperlink r:id="Rafcb5e5b0bb74c5e">
        <w:r w:rsidRPr="28975F60" w:rsidR="28975F60">
          <w:rPr>
            <w:rStyle w:val="Hyperlink"/>
            <w:noProof w:val="0"/>
            <w:lang w:val="en-US"/>
          </w:rPr>
          <w:t>第 44 條</w:t>
        </w:r>
      </w:hyperlink>
    </w:p>
    <w:p w:rsidR="28975F60" w:rsidP="28975F60" w:rsidRDefault="28975F60" w14:paraId="35C747F0" w14:textId="3F41DE7F">
      <w:pPr>
        <w:pStyle w:val="Normal"/>
        <w:rPr>
          <w:noProof w:val="0"/>
          <w:lang w:val="en-US"/>
        </w:rPr>
      </w:pPr>
      <w:r w:rsidRPr="28975F60" w:rsidR="28975F60">
        <w:rPr>
          <w:noProof w:val="0"/>
          <w:lang w:val="en-US"/>
        </w:rPr>
        <w:t>商品、原料、物料、在製品、製成品、副產品等存貨之估價，以實際成本為準；成本高於淨變現價值時，納稅義務人得以淨變現價值為準，跌價損失得列銷貨成本；成本不明或淨變現價值無法合理預期時，由該管稽徵機關用鑑定或估定方法決定之。</w:t>
      </w:r>
    </w:p>
    <w:p w:rsidR="28975F60" w:rsidP="28975F60" w:rsidRDefault="28975F60" w14:paraId="7B7A412C" w14:textId="1DFFE69C">
      <w:pPr>
        <w:pStyle w:val="Normal"/>
        <w:rPr>
          <w:noProof w:val="0"/>
          <w:lang w:val="en-US"/>
        </w:rPr>
      </w:pPr>
      <w:r w:rsidRPr="28975F60" w:rsidR="28975F60">
        <w:rPr>
          <w:noProof w:val="0"/>
          <w:lang w:val="en-US"/>
        </w:rPr>
        <w:t>前項所稱淨變現價值，指營利事業預期正常營業出售存貨所能取得之淨額</w:t>
      </w:r>
      <w:r w:rsidRPr="28975F60" w:rsidR="28975F60">
        <w:rPr>
          <w:noProof w:val="0"/>
          <w:lang w:val="en-US"/>
        </w:rPr>
        <w:t>。</w:t>
      </w:r>
    </w:p>
    <w:p w:rsidR="28975F60" w:rsidP="28975F60" w:rsidRDefault="28975F60" w14:paraId="100248B6" w14:textId="59BD0EBB">
      <w:pPr>
        <w:pStyle w:val="Normal"/>
        <w:rPr>
          <w:noProof w:val="0"/>
          <w:lang w:val="en-US"/>
        </w:rPr>
      </w:pPr>
      <w:r w:rsidRPr="28975F60" w:rsidR="28975F60">
        <w:rPr>
          <w:noProof w:val="0"/>
          <w:lang w:val="en-US"/>
        </w:rPr>
        <w:t>第一項成本，得按存貨之種類或性質，採用個別辨認法、先進先出法、加權平均法、移動平均法或其他經主管機關核定之方法計算之</w:t>
      </w:r>
      <w:r w:rsidRPr="28975F60" w:rsidR="28975F60">
        <w:rPr>
          <w:noProof w:val="0"/>
          <w:lang w:val="en-US"/>
        </w:rPr>
        <w:t>。</w:t>
      </w:r>
    </w:p>
    <w:p w:rsidR="28975F60" w:rsidP="28975F60" w:rsidRDefault="28975F60" w14:paraId="63BF5506" w14:textId="6C657FD1">
      <w:pPr>
        <w:pStyle w:val="ListParagraph"/>
        <w:numPr>
          <w:ilvl w:val="0"/>
          <w:numId w:val="1"/>
        </w:numPr>
        <w:rPr>
          <w:noProof w:val="0"/>
          <w:lang w:val="en-US"/>
        </w:rPr>
      </w:pPr>
    </w:p>
    <w:p w:rsidR="28975F60" w:rsidP="28975F60" w:rsidRDefault="28975F60" w14:paraId="67F9F476" w14:textId="544F1ADC">
      <w:pPr>
        <w:pStyle w:val="Normal"/>
        <w:ind w:left="0"/>
        <w:rPr>
          <w:noProof w:val="0"/>
          <w:lang w:val="en-US"/>
        </w:rPr>
      </w:pPr>
      <w:r w:rsidRPr="28975F60" w:rsidR="28975F60">
        <w:rPr>
          <w:noProof w:val="0"/>
          <w:lang w:val="en-US"/>
        </w:rPr>
        <w:t>營利事業所得稅查核準則第50條。</w:t>
      </w:r>
    </w:p>
    <w:p w:rsidR="28975F60" w:rsidP="28975F60" w:rsidRDefault="28975F60" w14:paraId="0106F9AA" w14:textId="384594DA">
      <w:pPr>
        <w:pStyle w:val="Normal"/>
        <w:ind w:left="0"/>
        <w:rPr>
          <w:noProof w:val="0"/>
          <w:lang w:val="en-US"/>
        </w:rPr>
      </w:pPr>
    </w:p>
    <w:p w:rsidR="28975F60" w:rsidP="28975F60" w:rsidRDefault="28975F60" w14:paraId="4635BA05" w14:textId="518D36F5">
      <w:pPr>
        <w:pStyle w:val="Normal"/>
        <w:rPr>
          <w:noProof w:val="0"/>
          <w:lang w:val="en-US"/>
        </w:rPr>
      </w:pPr>
      <w:r w:rsidRPr="28975F60" w:rsidR="28975F60">
        <w:rPr>
          <w:noProof w:val="0"/>
          <w:lang w:val="en-US"/>
        </w:rPr>
        <w:t>法條內容：</w:t>
      </w:r>
    </w:p>
    <w:p w:rsidR="28975F60" w:rsidP="28975F60" w:rsidRDefault="28975F60" w14:paraId="15EB5195" w14:textId="6EA3C11B">
      <w:pPr>
        <w:pStyle w:val="Normal"/>
        <w:rPr/>
      </w:pPr>
      <w:hyperlink r:id="R81788d9e22684306">
        <w:r w:rsidRPr="28975F60" w:rsidR="28975F60">
          <w:rPr>
            <w:rStyle w:val="Hyperlink"/>
            <w:noProof w:val="0"/>
            <w:lang w:val="en-US"/>
          </w:rPr>
          <w:t>第 50 條</w:t>
        </w:r>
      </w:hyperlink>
    </w:p>
    <w:p w:rsidR="28975F60" w:rsidP="28975F60" w:rsidRDefault="28975F60" w14:paraId="2C24FEBD" w14:textId="279992F9">
      <w:pPr>
        <w:pStyle w:val="Normal"/>
        <w:rPr>
          <w:noProof w:val="0"/>
          <w:lang w:val="en-US"/>
        </w:rPr>
      </w:pPr>
      <w:r w:rsidRPr="28975F60" w:rsidR="28975F60">
        <w:rPr>
          <w:noProof w:val="0"/>
          <w:lang w:val="en-US"/>
        </w:rPr>
        <w:t>商品、原料、物料、在製品、製成品、副產品等存貨之估價，以實際成本為準，成本高於淨變現價值者，納稅義務人得以淨變現價值為準，跌價損失得列銷貨成本。但以成本與淨變現價值孰低為準估價者，一經採用不得變更。成本不明或淨變現價值無法合理預期時，由該管稽徵機關用鑑定或估定方法決定之。</w:t>
      </w:r>
    </w:p>
    <w:p w:rsidR="28975F60" w:rsidP="28975F60" w:rsidRDefault="28975F60" w14:paraId="081A924E" w14:textId="638D24D7">
      <w:pPr>
        <w:pStyle w:val="Normal"/>
        <w:rPr>
          <w:noProof w:val="0"/>
          <w:lang w:val="en-US"/>
        </w:rPr>
      </w:pPr>
      <w:r w:rsidRPr="28975F60" w:rsidR="28975F60">
        <w:rPr>
          <w:noProof w:val="0"/>
          <w:lang w:val="en-US"/>
        </w:rPr>
        <w:t>前項所稱淨變現價值，應以決算日營利事業預期正常營業出售存貨所能取得之淨額為準</w:t>
      </w:r>
      <w:r w:rsidRPr="28975F60" w:rsidR="28975F60">
        <w:rPr>
          <w:noProof w:val="0"/>
          <w:lang w:val="en-US"/>
        </w:rPr>
        <w:t>。</w:t>
      </w:r>
    </w:p>
    <w:p w:rsidR="28975F60" w:rsidP="28975F60" w:rsidRDefault="28975F60" w14:paraId="4FBEBDE8" w14:textId="42B93E59">
      <w:pPr>
        <w:pStyle w:val="Normal"/>
        <w:rPr>
          <w:sz w:val="32"/>
          <w:szCs w:val="32"/>
        </w:rPr>
      </w:pPr>
    </w:p>
    <w:p w:rsidR="28975F60" w:rsidP="28975F60" w:rsidRDefault="28975F60" w14:paraId="70BB1B46" w14:textId="72555226">
      <w:pPr>
        <w:pStyle w:val="Normal"/>
        <w:rPr>
          <w:sz w:val="32"/>
          <w:szCs w:val="32"/>
        </w:rPr>
      </w:pPr>
      <w:r w:rsidRPr="28975F60" w:rsidR="28975F60">
        <w:rPr>
          <w:sz w:val="32"/>
          <w:szCs w:val="32"/>
        </w:rPr>
        <w:t>實際成本法</w:t>
      </w:r>
    </w:p>
    <w:p w:rsidR="28975F60" w:rsidP="28975F60" w:rsidRDefault="28975F60" w14:paraId="5F86A9C2" w14:textId="1477EDA0">
      <w:pPr>
        <w:pStyle w:val="ListParagraph"/>
        <w:numPr>
          <w:ilvl w:val="0"/>
          <w:numId w:val="3"/>
        </w:numPr>
        <w:rPr>
          <w:sz w:val="24"/>
          <w:szCs w:val="24"/>
        </w:rPr>
      </w:pPr>
    </w:p>
    <w:p w:rsidR="28975F60" w:rsidP="28975F60" w:rsidRDefault="28975F60" w14:paraId="752557E9" w14:textId="5723C541">
      <w:pPr>
        <w:pStyle w:val="Normal"/>
        <w:rPr>
          <w:sz w:val="24"/>
          <w:szCs w:val="24"/>
        </w:rPr>
      </w:pPr>
      <w:r w:rsidRPr="28975F60" w:rsidR="28975F60">
        <w:rPr>
          <w:sz w:val="24"/>
          <w:szCs w:val="24"/>
        </w:rPr>
        <w:t>法條：</w:t>
      </w:r>
    </w:p>
    <w:p w:rsidR="28975F60" w:rsidP="28975F60" w:rsidRDefault="28975F60" w14:paraId="40743603" w14:textId="3EED8E06">
      <w:pPr>
        <w:pStyle w:val="Normal"/>
        <w:rPr/>
      </w:pPr>
      <w:hyperlink r:id="Rf36ea3f7361c4160">
        <w:r w:rsidRPr="28975F60" w:rsidR="28975F60">
          <w:rPr>
            <w:rStyle w:val="Hyperlink"/>
            <w:noProof w:val="0"/>
            <w:lang w:val="en-US"/>
          </w:rPr>
          <w:t>第 46 條</w:t>
        </w:r>
      </w:hyperlink>
    </w:p>
    <w:p w:rsidR="28975F60" w:rsidP="28975F60" w:rsidRDefault="28975F60" w14:paraId="0827C440" w14:textId="705AA15D">
      <w:pPr>
        <w:pStyle w:val="Normal"/>
        <w:rPr>
          <w:noProof w:val="0"/>
          <w:lang w:val="en-US"/>
        </w:rPr>
      </w:pPr>
    </w:p>
    <w:p w:rsidR="28975F60" w:rsidP="28975F60" w:rsidRDefault="28975F60" w14:paraId="68CE9ED1" w14:textId="23FF7F63">
      <w:pPr>
        <w:pStyle w:val="Normal"/>
        <w:rPr>
          <w:sz w:val="24"/>
          <w:szCs w:val="24"/>
        </w:rPr>
      </w:pPr>
      <w:r w:rsidRPr="28975F60" w:rsidR="28975F60">
        <w:rPr>
          <w:sz w:val="24"/>
          <w:szCs w:val="24"/>
        </w:rPr>
        <w:t>法條內容</w:t>
      </w:r>
      <w:r w:rsidRPr="28975F60" w:rsidR="28975F60">
        <w:rPr>
          <w:sz w:val="24"/>
          <w:szCs w:val="24"/>
        </w:rPr>
        <w:t>：</w:t>
      </w:r>
    </w:p>
    <w:p w:rsidR="28975F60" w:rsidP="28975F60" w:rsidRDefault="28975F60" w14:paraId="29BE1457" w14:textId="2EF111B4">
      <w:pPr>
        <w:pStyle w:val="Normal"/>
        <w:rPr>
          <w:noProof w:val="0"/>
          <w:lang w:val="en-US"/>
        </w:rPr>
      </w:pPr>
      <w:r w:rsidRPr="28975F60" w:rsidR="28975F60">
        <w:rPr>
          <w:noProof w:val="0"/>
          <w:lang w:val="en-US"/>
        </w:rPr>
        <w:t>所得稅法施行細則第46條。</w:t>
      </w:r>
    </w:p>
    <w:p w:rsidR="28975F60" w:rsidP="28975F60" w:rsidRDefault="28975F60" w14:paraId="7320AF3B" w14:textId="52B419DB">
      <w:pPr>
        <w:pStyle w:val="Normal"/>
        <w:rPr>
          <w:noProof w:val="0"/>
          <w:lang w:val="en-US"/>
        </w:rPr>
      </w:pPr>
    </w:p>
    <w:p w:rsidR="28975F60" w:rsidP="28975F60" w:rsidRDefault="28975F60" w14:paraId="1A585408" w14:textId="4FAE22C5">
      <w:pPr>
        <w:pStyle w:val="Normal"/>
        <w:rPr>
          <w:noProof w:val="0"/>
          <w:lang w:val="en-US"/>
        </w:rPr>
      </w:pPr>
      <w:r w:rsidRPr="28975F60" w:rsidR="28975F60">
        <w:rPr>
          <w:noProof w:val="0"/>
          <w:lang w:val="en-US"/>
        </w:rPr>
        <w:t>本法第四十四條所定實際成本之估價方法如下</w:t>
      </w:r>
      <w:r w:rsidRPr="28975F60" w:rsidR="28975F60">
        <w:rPr>
          <w:noProof w:val="0"/>
          <w:lang w:val="en-US"/>
        </w:rPr>
        <w:t>：</w:t>
      </w:r>
    </w:p>
    <w:p w:rsidR="28975F60" w:rsidP="28975F60" w:rsidRDefault="28975F60" w14:paraId="676991AC" w14:textId="20CDAF2B">
      <w:pPr>
        <w:pStyle w:val="Normal"/>
        <w:rPr>
          <w:noProof w:val="0"/>
          <w:lang w:val="en-US"/>
        </w:rPr>
      </w:pPr>
      <w:r w:rsidRPr="28975F60" w:rsidR="28975F60">
        <w:rPr>
          <w:noProof w:val="0"/>
          <w:lang w:val="en-US"/>
        </w:rPr>
        <w:t>一、採個別辨認法者，應以個別存貨之實際成本，作為存貨之取得價格</w:t>
      </w:r>
      <w:r w:rsidRPr="28975F60" w:rsidR="28975F60">
        <w:rPr>
          <w:noProof w:val="0"/>
          <w:lang w:val="en-US"/>
        </w:rPr>
        <w:t>。</w:t>
      </w:r>
    </w:p>
    <w:p w:rsidR="28975F60" w:rsidP="28975F60" w:rsidRDefault="28975F60" w14:paraId="25F9B121" w14:textId="6D681E39">
      <w:pPr>
        <w:pStyle w:val="Normal"/>
        <w:rPr>
          <w:noProof w:val="0"/>
          <w:lang w:val="en-US"/>
        </w:rPr>
      </w:pPr>
      <w:r w:rsidRPr="28975F60" w:rsidR="28975F60">
        <w:rPr>
          <w:noProof w:val="0"/>
          <w:lang w:val="en-US"/>
        </w:rPr>
        <w:t>二、採先進先出法者，應依存貨之性質分類，其屬於同一類者，分別依其取得之日期順序排列彙計，其距離年度終了最近者，列於最前，以此彙列之價格，作為存貨之取得價格。</w:t>
      </w:r>
    </w:p>
    <w:p w:rsidR="28975F60" w:rsidP="28975F60" w:rsidRDefault="28975F60" w14:paraId="2BFC0BC0" w14:textId="014504A1">
      <w:pPr>
        <w:pStyle w:val="Normal"/>
        <w:rPr>
          <w:noProof w:val="0"/>
          <w:lang w:val="en-US"/>
        </w:rPr>
      </w:pPr>
      <w:r w:rsidRPr="28975F60" w:rsidR="28975F60">
        <w:rPr>
          <w:noProof w:val="0"/>
          <w:lang w:val="en-US"/>
        </w:rPr>
        <w:t>三、採加權平均法者，應依存貨之性質分類，其屬於同一類者，以自年度開始之日起，併同當年度中添置存貨之總金額，除以總數量，以求得其每一單位之取得價格。</w:t>
      </w:r>
    </w:p>
    <w:p w:rsidR="28975F60" w:rsidP="28975F60" w:rsidRDefault="28975F60" w14:paraId="61BE0F71" w14:textId="7A4F189B">
      <w:pPr>
        <w:pStyle w:val="Normal"/>
        <w:rPr>
          <w:noProof w:val="0"/>
          <w:lang w:val="en-US"/>
        </w:rPr>
      </w:pPr>
      <w:r w:rsidRPr="28975F60" w:rsidR="28975F60">
        <w:rPr>
          <w:noProof w:val="0"/>
          <w:lang w:val="en-US"/>
        </w:rPr>
        <w:t>四、採移動平均法者，應依存貨之性質分類，其屬於同一類者，於每次取得時，將其數量及取得價格與上次所存同一類之數量及取得價格合併計算，以求得每一單位之平均價格，下次取得時，依同樣方法求得每一單位之平均價格，以當年度最後一次取得時調整之單位取得價格，作為存貨之取得價格。</w:t>
      </w:r>
    </w:p>
    <w:p w:rsidR="28975F60" w:rsidP="28975F60" w:rsidRDefault="28975F60" w14:paraId="5D2CEAE6" w14:textId="6E81D302">
      <w:pPr>
        <w:pStyle w:val="Normal"/>
        <w:rPr>
          <w:noProof w:val="0"/>
          <w:lang w:val="en-US"/>
        </w:rPr>
      </w:pPr>
      <w:r w:rsidRPr="28975F60" w:rsidR="28975F60">
        <w:rPr>
          <w:noProof w:val="0"/>
          <w:lang w:val="en-US"/>
        </w:rPr>
        <w:t>五、採零售價法者，應依商品種類事先訂定價格，與進貨成本求得成本率，各種商品所定價格乘以其成本率，作為存貨之每一單位取得價格</w:t>
      </w:r>
      <w:r w:rsidRPr="28975F60" w:rsidR="28975F60">
        <w:rPr>
          <w:noProof w:val="0"/>
          <w:lang w:val="en-US"/>
        </w:rPr>
        <w:t>。</w:t>
      </w:r>
    </w:p>
    <w:p w:rsidR="28975F60" w:rsidP="28975F60" w:rsidRDefault="28975F60" w14:paraId="2E71D121" w14:textId="301D5A3A">
      <w:pPr>
        <w:pStyle w:val="Normal"/>
        <w:rPr>
          <w:noProof w:val="0"/>
          <w:lang w:val="en-US"/>
        </w:rPr>
      </w:pPr>
      <w:r w:rsidRPr="28975F60" w:rsidR="28975F60">
        <w:rPr>
          <w:noProof w:val="0"/>
          <w:lang w:val="en-US"/>
        </w:rPr>
        <w:t>營利事業之存貨成本估價方法，採先進先出法或移動平均法者，應採用永續盤存制</w:t>
      </w:r>
      <w:r w:rsidRPr="28975F60" w:rsidR="28975F60">
        <w:rPr>
          <w:noProof w:val="0"/>
          <w:lang w:val="en-US"/>
        </w:rPr>
        <w:t>。</w:t>
      </w:r>
    </w:p>
    <w:p w:rsidR="28975F60" w:rsidP="28975F60" w:rsidRDefault="28975F60" w14:paraId="7DC4DCA5" w14:textId="4FCC1192">
      <w:pPr>
        <w:pStyle w:val="Normal"/>
        <w:rPr>
          <w:sz w:val="24"/>
          <w:szCs w:val="24"/>
        </w:rPr>
      </w:pPr>
    </w:p>
    <w:p w:rsidR="28975F60" w:rsidP="28975F60" w:rsidRDefault="28975F60" w14:paraId="21C0D21F" w14:textId="18B3B289">
      <w:pPr>
        <w:pStyle w:val="ListParagraph"/>
        <w:numPr>
          <w:ilvl w:val="0"/>
          <w:numId w:val="3"/>
        </w:numPr>
        <w:rPr>
          <w:sz w:val="24"/>
          <w:szCs w:val="24"/>
        </w:rPr>
      </w:pPr>
      <w:r w:rsidRPr="28975F60" w:rsidR="28975F60">
        <w:rPr>
          <w:sz w:val="24"/>
          <w:szCs w:val="24"/>
        </w:rPr>
        <w:t xml:space="preserve"> </w:t>
      </w:r>
    </w:p>
    <w:p w:rsidR="28975F60" w:rsidP="28975F60" w:rsidRDefault="28975F60" w14:paraId="4EC892C9" w14:textId="1EC6638E">
      <w:pPr>
        <w:pStyle w:val="Normal"/>
        <w:ind w:left="0"/>
        <w:rPr>
          <w:sz w:val="24"/>
          <w:szCs w:val="24"/>
        </w:rPr>
      </w:pPr>
      <w:r w:rsidRPr="28975F60" w:rsidR="28975F60">
        <w:rPr>
          <w:sz w:val="24"/>
          <w:szCs w:val="24"/>
        </w:rPr>
        <w:t>營利事業所得稅查核準則。</w:t>
      </w:r>
    </w:p>
    <w:p w:rsidR="28975F60" w:rsidP="28975F60" w:rsidRDefault="28975F60" w14:paraId="01D26EA3" w14:textId="704D4FD5">
      <w:pPr>
        <w:pStyle w:val="Normal"/>
        <w:rPr>
          <w:sz w:val="24"/>
          <w:szCs w:val="24"/>
        </w:rPr>
      </w:pPr>
      <w:r w:rsidRPr="28975F60" w:rsidR="28975F60">
        <w:rPr>
          <w:sz w:val="24"/>
          <w:szCs w:val="24"/>
        </w:rPr>
        <w:t>法條內容</w:t>
      </w:r>
      <w:r w:rsidRPr="28975F60" w:rsidR="28975F60">
        <w:rPr>
          <w:sz w:val="24"/>
          <w:szCs w:val="24"/>
        </w:rPr>
        <w:t>：</w:t>
      </w:r>
    </w:p>
    <w:p w:rsidR="28975F60" w:rsidP="28975F60" w:rsidRDefault="28975F60" w14:paraId="65D072A3" w14:textId="1B6DEA1B">
      <w:pPr>
        <w:pStyle w:val="Normal"/>
        <w:rPr/>
      </w:pPr>
      <w:hyperlink r:id="R0599a79999cd456d">
        <w:r w:rsidRPr="28975F60" w:rsidR="28975F60">
          <w:rPr>
            <w:rStyle w:val="Hyperlink"/>
            <w:noProof w:val="0"/>
            <w:lang w:val="en-US"/>
          </w:rPr>
          <w:t>第 51 條</w:t>
        </w:r>
      </w:hyperlink>
    </w:p>
    <w:p w:rsidR="28975F60" w:rsidP="28975F60" w:rsidRDefault="28975F60" w14:paraId="41224CFC" w14:textId="5037F188">
      <w:pPr>
        <w:pStyle w:val="Normal"/>
        <w:rPr>
          <w:noProof w:val="0"/>
          <w:lang w:val="en-US"/>
        </w:rPr>
      </w:pPr>
      <w:r w:rsidRPr="28975F60" w:rsidR="28975F60">
        <w:rPr>
          <w:noProof w:val="0"/>
          <w:lang w:val="en-US"/>
        </w:rPr>
        <w:t>前條之成本，得按存貨之種類或性質，採用個別辨認法、先進先出法、加權平均法、移動平均法，或其他經主管機關核定之方法計算之</w:t>
      </w:r>
      <w:r w:rsidRPr="28975F60" w:rsidR="28975F60">
        <w:rPr>
          <w:noProof w:val="0"/>
          <w:lang w:val="en-US"/>
        </w:rPr>
        <w:t>。</w:t>
      </w:r>
    </w:p>
    <w:p w:rsidR="28975F60" w:rsidP="28975F60" w:rsidRDefault="28975F60" w14:paraId="20B915E1" w14:textId="108A4DC7">
      <w:pPr>
        <w:pStyle w:val="Normal"/>
        <w:rPr>
          <w:noProof w:val="0"/>
          <w:lang w:val="en-US"/>
        </w:rPr>
      </w:pPr>
      <w:r w:rsidRPr="28975F60" w:rsidR="28975F60">
        <w:rPr>
          <w:noProof w:val="0"/>
          <w:lang w:val="en-US"/>
        </w:rPr>
        <w:t>其屬按月結算其成本者，得按月加權平均計算存貨價值</w:t>
      </w:r>
      <w:r w:rsidRPr="28975F60" w:rsidR="28975F60">
        <w:rPr>
          <w:noProof w:val="0"/>
          <w:lang w:val="en-US"/>
        </w:rPr>
        <w:t>。</w:t>
      </w:r>
    </w:p>
    <w:p w:rsidR="28975F60" w:rsidP="28975F60" w:rsidRDefault="28975F60" w14:paraId="54690059" w14:textId="4AAAEA09">
      <w:pPr>
        <w:pStyle w:val="Normal"/>
        <w:rPr>
          <w:noProof w:val="0"/>
          <w:lang w:val="en-US"/>
        </w:rPr>
      </w:pPr>
      <w:r w:rsidRPr="28975F60" w:rsidR="28975F60">
        <w:rPr>
          <w:noProof w:val="0"/>
          <w:lang w:val="en-US"/>
        </w:rPr>
        <w:t>在同一會計年度內，同一種類或性質之存貨不得採用不同估價方法</w:t>
      </w:r>
      <w:r w:rsidRPr="28975F60" w:rsidR="28975F60">
        <w:rPr>
          <w:noProof w:val="0"/>
          <w:lang w:val="en-US"/>
        </w:rPr>
        <w:t>。</w:t>
      </w:r>
    </w:p>
    <w:p w:rsidR="28975F60" w:rsidP="28975F60" w:rsidRDefault="28975F60" w14:paraId="1B3E734E" w14:textId="18857ED4">
      <w:pPr>
        <w:pStyle w:val="Normal"/>
        <w:rPr>
          <w:sz w:val="24"/>
          <w:szCs w:val="24"/>
        </w:rPr>
      </w:pPr>
    </w:p>
    <w:p w:rsidR="28975F60" w:rsidP="28975F60" w:rsidRDefault="28975F60" w14:paraId="2D3C203C" w14:textId="085194EA">
      <w:pPr>
        <w:pStyle w:val="Normal"/>
        <w:rPr>
          <w:sz w:val="24"/>
          <w:szCs w:val="24"/>
        </w:rPr>
      </w:pPr>
    </w:p>
    <w:sectPr>
      <w:pgSz w:w="11906" w:h="16838" w:orient="portrait"/>
      <w:pgMar w:top="1440" w:right="1440" w:bottom="1440" w:left="1440" w:header="720" w:footer="720" w:gutter="0"/>
      <w:cols w:space="720"/>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3">
    <w:nsid w:val="230f0c0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690aff0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2f1b1f7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bordersDoNotSurroundHeader/>
  <w:bordersDoNotSurroundFooter/>
  <w:trackRevisions w:val="false"/>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24EB2BA"/>
    <w:rsid w:val="224EB2BA"/>
    <w:rsid w:val="28975F60"/>
    <w:rsid w:val="4EFE6CE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4EB2BA"/>
  <w15:chartTrackingRefBased/>
  <w15:docId w15:val="{1524E454-920B-4103-A8CC-3D020F5CA0B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val="0"/>
    </w:p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law.moj.gov.tw/LawClass/LawSingle.aspx?pcode=G0340051&amp;flno=37" TargetMode="External" Id="R6d05d8c9deaa49a3" /><Relationship Type="http://schemas.openxmlformats.org/officeDocument/2006/relationships/hyperlink" Target="https://law.moj.gov.tw/LawClass/LawSingle.aspx?pcode=G0340003&amp;flno=44" TargetMode="External" Id="Rafcb5e5b0bb74c5e" /><Relationship Type="http://schemas.openxmlformats.org/officeDocument/2006/relationships/hyperlink" Target="https://law.moj.gov.tw/LawClass/LawSingle.aspx?pcode=G0340051&amp;flno=50" TargetMode="External" Id="R81788d9e22684306" /><Relationship Type="http://schemas.openxmlformats.org/officeDocument/2006/relationships/hyperlink" Target="https://law.moj.gov.tw/LawClass/LawSingle.aspx?pcode=G0340004&amp;flno=46" TargetMode="External" Id="Rf36ea3f7361c4160" /><Relationship Type="http://schemas.openxmlformats.org/officeDocument/2006/relationships/hyperlink" Target="https://law.moj.gov.tw/LawClass/LawSingle.aspx?pcode=G0340051&amp;flno=51" TargetMode="External" Id="R0599a79999cd456d" /><Relationship Type="http://schemas.openxmlformats.org/officeDocument/2006/relationships/numbering" Target="numbering.xml" Id="R5957a6b6145343c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2024-01-27T01:46:25.8281611Z</dcterms:created>
  <dcterms:modified xsi:type="dcterms:W3CDTF">2024-04-04T05:24:01.2075947Z</dcterms:modified>
  <dc:creator>黃 奕捷</dc:creator>
  <lastModifiedBy>奕捷 黃</lastModifiedBy>
</coreProperties>
</file>