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47FA4C" wp14:paraId="32F8BE8A" wp14:textId="13A29D36">
      <w:pPr>
        <w:spacing w:after="160" w:line="279" w:lineRule="auto"/>
        <w:ind w:left="0"/>
        <w:jc w:val="center"/>
        <w:rPr>
          <w:rFonts w:ascii="Aptos" w:hAnsi="Aptos" w:eastAsia="Aptos" w:cs="Aptos"/>
          <w:b w:val="0"/>
          <w:bCs w:val="0"/>
          <w:i w:val="0"/>
          <w:iCs w:val="0"/>
          <w:caps w:val="0"/>
          <w:smallCaps w:val="0"/>
          <w:noProof w:val="0"/>
          <w:color w:val="000000" w:themeColor="text1" w:themeTint="FF" w:themeShade="FF"/>
          <w:sz w:val="72"/>
          <w:szCs w:val="72"/>
          <w:lang w:val="en-US"/>
        </w:rPr>
      </w:pPr>
      <w:r w:rsidRPr="2F47FA4C" w:rsidR="2F47FA4C">
        <w:rPr>
          <w:rFonts w:ascii="Aptos" w:hAnsi="Aptos" w:eastAsia="Aptos" w:cs="Aptos"/>
          <w:b w:val="0"/>
          <w:bCs w:val="0"/>
          <w:i w:val="0"/>
          <w:iCs w:val="0"/>
          <w:caps w:val="0"/>
          <w:smallCaps w:val="0"/>
          <w:noProof w:val="0"/>
          <w:color w:val="000000" w:themeColor="text1" w:themeTint="FF" w:themeShade="FF"/>
          <w:sz w:val="72"/>
          <w:szCs w:val="72"/>
          <w:lang w:val="en-US" w:eastAsia="ja-JP"/>
        </w:rPr>
        <w:t>營業稅稅額</w:t>
      </w:r>
    </w:p>
    <w:p xmlns:wp14="http://schemas.microsoft.com/office/word/2010/wordml" w:rsidP="2F47FA4C" wp14:paraId="26F4252F" wp14:textId="399A128E">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F47FA4C" w:rsidR="2F47FA4C">
        <w:rPr>
          <w:rFonts w:ascii="Aptos" w:hAnsi="Aptos" w:eastAsia="Aptos" w:cs="Aptos"/>
          <w:b w:val="0"/>
          <w:bCs w:val="0"/>
          <w:i w:val="0"/>
          <w:iCs w:val="0"/>
          <w:caps w:val="0"/>
          <w:smallCaps w:val="0"/>
          <w:noProof w:val="0"/>
          <w:color w:val="000000" w:themeColor="text1" w:themeTint="FF" w:themeShade="FF"/>
          <w:sz w:val="52"/>
          <w:szCs w:val="52"/>
          <w:lang w:val="en-US" w:eastAsia="ja-JP"/>
        </w:rPr>
        <w:t>營業稅稅額</w:t>
      </w:r>
    </w:p>
    <w:p xmlns:wp14="http://schemas.microsoft.com/office/word/2010/wordml" w:rsidP="2F47FA4C" wp14:paraId="511C2610" wp14:textId="3FFCAFA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8"/>
          <w:szCs w:val="48"/>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48"/>
          <w:szCs w:val="48"/>
          <w:lang w:val="en-US" w:eastAsia="ja-JP"/>
        </w:rPr>
        <w:t>計算方式</w:t>
      </w:r>
    </w:p>
    <w:p xmlns:wp14="http://schemas.microsoft.com/office/word/2010/wordml" w:rsidP="2F47FA4C" wp14:paraId="2A45AF2F" wp14:textId="16E81B8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40"/>
          <w:szCs w:val="40"/>
          <w:lang w:val="en-US" w:eastAsia="ja-JP"/>
        </w:rPr>
        <w:t>銷售額</w:t>
      </w:r>
    </w:p>
    <w:p xmlns:wp14="http://schemas.microsoft.com/office/word/2010/wordml" w:rsidP="2F47FA4C" wp14:paraId="1EF4FEFC" wp14:textId="3DA22C24">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交換情形</w:t>
      </w:r>
    </w:p>
    <w:p xmlns:wp14="http://schemas.microsoft.com/office/word/2010/wordml" w:rsidP="2F47FA4C" wp14:paraId="411E5041" wp14:textId="033541A7">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根據加值型及非加值型營利稅法施行細則第18條規定。</w:t>
      </w:r>
    </w:p>
    <w:p xmlns:wp14="http://schemas.microsoft.com/office/word/2010/wordml" w:rsidP="2F47FA4C" wp14:paraId="1329D97A" wp14:textId="7434D035">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換出價格、換入價格或勞務之時價，取最大值。</w:t>
      </w:r>
    </w:p>
    <w:p xmlns:wp14="http://schemas.microsoft.com/office/word/2010/wordml" w:rsidP="2F47FA4C" wp14:paraId="2039648A" wp14:textId="7A1F8F2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也就是，</w:t>
      </w:r>
    </w:p>
    <w:p xmlns:wp14="http://schemas.microsoft.com/office/word/2010/wordml" w:rsidP="2F47FA4C" wp14:paraId="583B5EA4" wp14:textId="2A57CC60">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銷售額 = max (換出價格,換入價格,勞務之時價)</w:t>
      </w:r>
    </w:p>
    <w:p xmlns:wp14="http://schemas.microsoft.com/office/word/2010/wordml" w:rsidP="2F47FA4C" wp14:paraId="611CD13D" wp14:textId="495CBD74">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05191B18" wp14:textId="5337B43F">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銷貨物或勞務</w:t>
      </w:r>
    </w:p>
    <w:p xmlns:wp14="http://schemas.microsoft.com/office/word/2010/wordml" w:rsidP="2F47FA4C" wp14:paraId="6D4DF578" wp14:textId="254F3FD3">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該營利事業中進行銷貨或勞務，其銷貨額之認定原則，請參考加值型及非加值型營利稅法施行細則第19條。</w:t>
      </w:r>
    </w:p>
    <w:p xmlns:wp14="http://schemas.microsoft.com/office/word/2010/wordml" w:rsidP="2F47FA4C" wp14:paraId="388EDBCD" wp14:textId="2EAC30C8">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34CE6F5F" wp14:textId="679FBD30">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分期付款銷貨或分期付款勞務</w:t>
      </w:r>
    </w:p>
    <w:p xmlns:wp14="http://schemas.microsoft.com/office/word/2010/wordml" w:rsidP="2F47FA4C" wp14:paraId="4BD1FE95" wp14:textId="711D378E">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請參考加值型及非加值型營利稅法施行細則第20條規定。</w:t>
      </w:r>
    </w:p>
    <w:p xmlns:wp14="http://schemas.microsoft.com/office/word/2010/wordml" w:rsidP="2F47FA4C" wp14:paraId="3C6A3EA4" wp14:textId="4AFB4FD2">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定著物</w:t>
      </w:r>
    </w:p>
    <w:p xmlns:wp14="http://schemas.microsoft.com/office/word/2010/wordml" w:rsidP="2F47FA4C" wp14:paraId="6F9B5571" wp14:textId="2F113314">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根據加值型及非加值型營利稅法施行細則第21條規定。</w:t>
      </w:r>
    </w:p>
    <w:p xmlns:wp14="http://schemas.microsoft.com/office/word/2010/wordml" w:rsidP="2F47FA4C" wp14:paraId="6C4C6983" wp14:textId="4EC53FB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(定著物部分)銷貨額 = ( (土地)銷貨額 + (土地上定著物)銷貨額 ) * W</w:t>
      </w:r>
    </w:p>
    <w:p xmlns:wp14="http://schemas.microsoft.com/office/word/2010/wordml" w:rsidP="2F47FA4C" wp14:paraId="55CF4099" wp14:textId="37645EB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where</w:t>
      </w:r>
    </w:p>
    <w:p xmlns:wp14="http://schemas.microsoft.com/office/word/2010/wordml" w:rsidP="2F47FA4C" wp14:paraId="7CDD9562" wp14:textId="0CC13721">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W = ( a * ( 1 +  r ) / ( c + a * ( 1 + r ) )</w:t>
      </w:r>
    </w:p>
    <w:p xmlns:wp14="http://schemas.microsoft.com/office/word/2010/wordml" w:rsidP="2F47FA4C" wp14:paraId="44177D08" wp14:textId="7B26C24C">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a : (房屋)評定標準價格</w:t>
      </w:r>
    </w:p>
    <w:p xmlns:wp14="http://schemas.microsoft.com/office/word/2010/wordml" w:rsidP="2F47FA4C" wp14:paraId="49ACFB1F" wp14:textId="639AFD8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r : 徵收率</w:t>
      </w:r>
    </w:p>
    <w:p xmlns:wp14="http://schemas.microsoft.com/office/word/2010/wordml" w:rsidP="2F47FA4C" wp14:paraId="1E4AFA35" wp14:textId="67283A9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c : (土地)公告現值</w:t>
      </w:r>
    </w:p>
    <w:p xmlns:wp14="http://schemas.microsoft.com/office/word/2010/wordml" w:rsidP="2F47FA4C" wp14:paraId="13C1FA25" wp14:textId="39F0A737">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0F8AA83B" wp14:textId="127B6E87">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預收款項</w:t>
      </w:r>
    </w:p>
    <w:p xmlns:wp14="http://schemas.microsoft.com/office/word/2010/wordml" w:rsidP="2F47FA4C" wp14:paraId="5F83080E" wp14:textId="31145A7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請參考加值型及非加值型營利稅法施行細則第22條。</w:t>
      </w:r>
    </w:p>
    <w:p xmlns:wp14="http://schemas.microsoft.com/office/word/2010/wordml" w:rsidP="2F47FA4C" wp14:paraId="04247741" wp14:textId="3F5A4111">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2F47FA4C" wp14:paraId="3368FF4B" wp14:textId="75B5E9F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租賃相關收入</w:t>
      </w:r>
    </w:p>
    <w:p xmlns:wp14="http://schemas.microsoft.com/office/word/2010/wordml" w:rsidP="2F47FA4C" wp14:paraId="388AD494" wp14:textId="72F52410">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根據加值型及非加值型營利稅法施行細則第24條規定。</w:t>
      </w:r>
    </w:p>
    <w:p xmlns:wp14="http://schemas.microsoft.com/office/word/2010/wordml" w:rsidP="2F47FA4C" wp14:paraId="2728F230" wp14:textId="69277E1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092E3B3A" wp14:textId="7A2F191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情況一：</w:t>
      </w:r>
    </w:p>
    <w:p xmlns:wp14="http://schemas.microsoft.com/office/word/2010/wordml" w:rsidP="2F47FA4C" wp14:paraId="020059B4" wp14:textId="4523554C">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若採用一般稅額(我的筆記，消費稅--營業稅.xlsx裡的工作表的情況一)來計算，則當月的銷售額為。</w:t>
      </w:r>
    </w:p>
    <w:p xmlns:wp14="http://schemas.microsoft.com/office/word/2010/wordml" w:rsidP="2F47FA4C" wp14:paraId="722652B5" wp14:textId="0E453C6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銷售額 = 押金 * ( i / 12 ) * ( 1 + r )</w:t>
      </w:r>
    </w:p>
    <w:p xmlns:wp14="http://schemas.microsoft.com/office/word/2010/wordml" w:rsidP="2F47FA4C" wp14:paraId="67DE070F" wp14:textId="2BB63915">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where</w:t>
      </w:r>
    </w:p>
    <w:p xmlns:wp14="http://schemas.microsoft.com/office/word/2010/wordml" w:rsidP="2F47FA4C" wp14:paraId="6E8930C5" wp14:textId="4154BE03">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i : 該年一月一日郵局一年期定期存款利率。也就是我們常講得郵局定存年利率。</w:t>
      </w:r>
    </w:p>
    <w:p xmlns:wp14="http://schemas.microsoft.com/office/word/2010/wordml" w:rsidP="2F47FA4C" wp14:paraId="310B2E0C" wp14:textId="77D336F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r : 徵收率</w:t>
      </w:r>
    </w:p>
    <w:p xmlns:wp14="http://schemas.microsoft.com/office/word/2010/wordml" w:rsidP="2F47FA4C" wp14:paraId="32372336" wp14:textId="2388887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6F2D1F4D" wp14:textId="699555D7">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備註：</w:t>
      </w:r>
    </w:p>
    <w:p xmlns:wp14="http://schemas.microsoft.com/office/word/2010/wordml" w:rsidP="2F47FA4C" wp14:paraId="26B72E6E" wp14:textId="5857B04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當月的銷售額可以以當年的銷售額除以十二推算之，這樣可以的的理由如下。</w:t>
      </w:r>
    </w:p>
    <w:p xmlns:wp14="http://schemas.microsoft.com/office/word/2010/wordml" w:rsidP="2F47FA4C" wp14:paraId="44F7686C" wp14:textId="6F135F60">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因為當年度 i 和r 固定，所以當年度每個月的銷售額也固定。</w:t>
      </w:r>
    </w:p>
    <w:p xmlns:wp14="http://schemas.microsoft.com/office/word/2010/wordml" w:rsidP="2F47FA4C" wp14:paraId="3FDF6E25" wp14:textId="4BD0D1B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76E5701F" wp14:textId="022BDE6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證明：</w:t>
      </w:r>
    </w:p>
    <w:p xmlns:wp14="http://schemas.microsoft.com/office/word/2010/wordml" w:rsidP="2F47FA4C" wp14:paraId="751A5C5F" wp14:textId="50C3DD14">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我打算用敘述性證明來解釋(或證明)本公式。</w:t>
      </w:r>
    </w:p>
    <w:p xmlns:wp14="http://schemas.microsoft.com/office/word/2010/wordml" w:rsidP="2F47FA4C" wp14:paraId="5741FF0C" wp14:textId="557B55EE">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第一部分：用租金的押金推算之。</w:t>
      </w:r>
    </w:p>
    <w:p xmlns:wp14="http://schemas.microsoft.com/office/word/2010/wordml" w:rsidP="2F47FA4C" wp14:paraId="1AE0398E" wp14:textId="03FA8263">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首先，在租賃收入可能為數年這種情況，租用人可能預先付完所有期間的租金 (以下簡稱情況一之一) ，也可能一個月付一次(以下簡稱情況一之二)，也可能一年付一次 (以下簡稱情況一之三) 。根據IFRS準則(一種會計中必用的準則)中的認列原則，在每種情況下的交易分錄會不同，且在其他情況和情況二之三中財務報表的內容會不同，這違反IFRS準則中的忠實表述原則(因為裡面有隱隱約約提到，需要符合唯一性，但這不符合唯一性。)。因此不能直接以租金來計算銷貨額。這要怎麼辦? 不過不用擔心，根據民法規定，租金的押金為租金的0.1倍，若用租金計算，則符合IFRS準則中的所有的認列原則。我們說明完了第一部分。</w:t>
      </w:r>
    </w:p>
    <w:p xmlns:wp14="http://schemas.microsoft.com/office/word/2010/wordml" w:rsidP="2F47FA4C" wp14:paraId="441DBB8F" wp14:textId="02278B3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6A805539" wp14:textId="74BBAB45">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第二部分：乘以郵局定存年利率</w:t>
      </w:r>
    </w:p>
    <w:p xmlns:wp14="http://schemas.microsoft.com/office/word/2010/wordml" w:rsidP="2F47FA4C" wp14:paraId="5C9AE8E4" wp14:textId="5BA0B537">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可能公家機關為了方便而採用郵局定存年利率。</w:t>
      </w:r>
    </w:p>
    <w:p xmlns:wp14="http://schemas.microsoft.com/office/word/2010/wordml" w:rsidP="2F47FA4C" wp14:paraId="13BF1482" wp14:textId="6290F0C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第三部分：轉換成月。</w:t>
      </w:r>
    </w:p>
    <w:p xmlns:wp14="http://schemas.microsoft.com/office/word/2010/wordml" w:rsidP="2F47FA4C" wp14:paraId="38929E4B" wp14:textId="259FB77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因為一年有十二個月及上述備註提到的原因，當年的銷貨額要除以十二來計算當月的銷貨額。</w:t>
      </w:r>
    </w:p>
    <w:p xmlns:wp14="http://schemas.microsoft.com/office/word/2010/wordml" w:rsidP="2F47FA4C" wp14:paraId="549D47DD" wp14:textId="0644EE4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1427A365" wp14:textId="1CBB40D6">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故得證。</w:t>
      </w:r>
    </w:p>
    <w:p xmlns:wp14="http://schemas.microsoft.com/office/word/2010/wordml" w:rsidP="2F47FA4C" wp14:paraId="5E973523" wp14:textId="7B367237">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15DB1D2D" wp14:textId="4345D7C0">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情況二：</w:t>
      </w:r>
    </w:p>
    <w:p xmlns:wp14="http://schemas.microsoft.com/office/word/2010/wordml" w:rsidP="2F47FA4C" wp14:paraId="0A389072" wp14:textId="47D4DDC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若採用特種稅額 (我的筆記，消費稅--營業稅.xlsx裡的工作表的情況二)來計算，則當月的銷售額為。</w:t>
      </w:r>
    </w:p>
    <w:p xmlns:wp14="http://schemas.microsoft.com/office/word/2010/wordml" w:rsidP="2F47FA4C" wp14:paraId="383D2BCE" wp14:textId="30668A7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 xml:space="preserve">銷售額 = 押金 * ( i / 12 ) </w:t>
      </w:r>
    </w:p>
    <w:p xmlns:wp14="http://schemas.microsoft.com/office/word/2010/wordml" w:rsidP="2F47FA4C" wp14:paraId="28370D56" wp14:textId="4E6FF5A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where</w:t>
      </w:r>
    </w:p>
    <w:p xmlns:wp14="http://schemas.microsoft.com/office/word/2010/wordml" w:rsidP="2F47FA4C" wp14:paraId="2B478DDB" wp14:textId="47C972C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i : 該年一月一日郵局一年期定期存款利率。也就是我們常講得郵局定存年利率。</w:t>
      </w:r>
    </w:p>
    <w:p xmlns:wp14="http://schemas.microsoft.com/office/word/2010/wordml" w:rsidP="2F47FA4C" wp14:paraId="10886A9C" wp14:textId="401CE3DE">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r : 徵收率</w:t>
      </w:r>
    </w:p>
    <w:p xmlns:wp14="http://schemas.microsoft.com/office/word/2010/wordml" w:rsidP="2F47FA4C" wp14:paraId="3D1020CC" wp14:textId="66AD79B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3EC58C35" wp14:textId="6E56DCC0">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備註：</w:t>
      </w:r>
    </w:p>
    <w:p xmlns:wp14="http://schemas.microsoft.com/office/word/2010/wordml" w:rsidP="2F47FA4C" wp14:paraId="64F172DB" wp14:textId="64A0B2E5">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同上備註。</w:t>
      </w:r>
    </w:p>
    <w:p xmlns:wp14="http://schemas.microsoft.com/office/word/2010/wordml" w:rsidP="2F47FA4C" wp14:paraId="71F3C81C" wp14:textId="31C17441">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667F8014" wp14:textId="1524A741">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證明：</w:t>
      </w:r>
    </w:p>
    <w:p xmlns:wp14="http://schemas.microsoft.com/office/word/2010/wordml" w:rsidP="2F47FA4C" wp14:paraId="1AEF5F0C" wp14:textId="7464E03F">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在此情況中，徵收率為0。採用上個情況中的公式，得證。</w:t>
      </w:r>
    </w:p>
    <w:p xmlns:wp14="http://schemas.microsoft.com/office/word/2010/wordml" w:rsidP="2F47FA4C" wp14:paraId="1EDC7D75" wp14:textId="41625245">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759A4D62" wp14:textId="0BB9DC2E">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以上解釋和證明是我自己想出來，不一定正確，歡迎讀者補充或修正之。</w:t>
      </w:r>
    </w:p>
    <w:p xmlns:wp14="http://schemas.microsoft.com/office/word/2010/wordml" w:rsidP="2F47FA4C" wp14:paraId="1667BAE9" wp14:textId="5709A1D6">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54B90C4E" wp14:textId="620C08D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國際運輸</w:t>
      </w:r>
    </w:p>
    <w:p xmlns:wp14="http://schemas.microsoft.com/office/word/2010/wordml" w:rsidP="2F47FA4C" wp14:paraId="7C683C2B" wp14:textId="12F6684A">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請參考加值型及非加值型營業稅第18條。</w:t>
      </w:r>
    </w:p>
    <w:p xmlns:wp14="http://schemas.microsoft.com/office/word/2010/wordml" w:rsidP="2F47FA4C" wp14:paraId="519F9CB9" wp14:textId="428739E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2F47FA4C" w:rsidR="2F47FA4C">
        <w:rPr>
          <w:rFonts w:ascii="Aptos" w:hAnsi="Aptos" w:eastAsia="Aptos" w:cs="Aptos"/>
          <w:b w:val="0"/>
          <w:bCs w:val="0"/>
          <w:i w:val="0"/>
          <w:iCs w:val="0"/>
          <w:caps w:val="0"/>
          <w:smallCaps w:val="0"/>
          <w:noProof w:val="0"/>
          <w:color w:val="000000" w:themeColor="text1" w:themeTint="FF" w:themeShade="FF"/>
          <w:sz w:val="32"/>
          <w:szCs w:val="32"/>
          <w:lang w:val="en-US" w:eastAsia="ja-JP"/>
        </w:rPr>
        <w:t>海運事業</w:t>
      </w:r>
    </w:p>
    <w:p xmlns:wp14="http://schemas.microsoft.com/office/word/2010/wordml" w:rsidP="2F47FA4C" wp14:paraId="011D46D6" wp14:textId="0644B1AE">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以自中華民國境內乘載旅客出境之全部票價或承運貨物出口之運費總計為準。</w:t>
      </w:r>
    </w:p>
    <w:p xmlns:wp14="http://schemas.microsoft.com/office/word/2010/wordml" w:rsidP="2F47FA4C" wp14:paraId="3543FB65" wp14:textId="1F3E0089">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2F47FA4C" w:rsidR="2F47FA4C">
        <w:rPr>
          <w:rFonts w:ascii="Aptos" w:hAnsi="Aptos" w:eastAsia="Aptos" w:cs="Aptos"/>
          <w:b w:val="0"/>
          <w:bCs w:val="0"/>
          <w:i w:val="0"/>
          <w:iCs w:val="0"/>
          <w:caps w:val="0"/>
          <w:smallCaps w:val="0"/>
          <w:noProof w:val="0"/>
          <w:color w:val="000000" w:themeColor="text1" w:themeTint="FF" w:themeShade="FF"/>
          <w:sz w:val="32"/>
          <w:szCs w:val="32"/>
          <w:lang w:val="en-US" w:eastAsia="ja-JP"/>
        </w:rPr>
        <w:t>空運事業</w:t>
      </w:r>
    </w:p>
    <w:p xmlns:wp14="http://schemas.microsoft.com/office/word/2010/wordml" w:rsidP="2F47FA4C" wp14:paraId="00B712EF" wp14:textId="146557D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情況一：</w:t>
      </w:r>
    </w:p>
    <w:p xmlns:wp14="http://schemas.microsoft.com/office/word/2010/wordml" w:rsidP="2F47FA4C" wp14:paraId="4A013F2A" wp14:textId="238DF22C">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若為客運，則以自中華民國境內乘載旅客之境外第一站間的票價為準。</w:t>
      </w:r>
    </w:p>
    <w:p xmlns:wp14="http://schemas.microsoft.com/office/word/2010/wordml" w:rsidP="2F47FA4C" wp14:paraId="15A2053C" wp14:textId="771AF01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47FA4C" wp14:paraId="4233F910" wp14:textId="3D9AC883">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情況二：</w:t>
      </w:r>
    </w:p>
    <w:p xmlns:wp14="http://schemas.microsoft.com/office/word/2010/wordml" w:rsidP="2F47FA4C" wp14:paraId="2C078E63" wp14:textId="17CC659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以承運貨物出口之運費總計為準。</w:t>
      </w:r>
    </w:p>
    <w:p w:rsidR="2F47FA4C" w:rsidP="2F47FA4C" w:rsidRDefault="2F47FA4C" w14:paraId="3B65EB5A" w14:textId="140A508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70B20F48" w14:textId="4E26754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40"/>
          <w:szCs w:val="40"/>
          <w:lang w:val="en-US" w:eastAsia="ja-JP"/>
        </w:rPr>
        <w:t>銷項稅額</w:t>
      </w:r>
    </w:p>
    <w:p w:rsidR="2F47FA4C" w:rsidP="2F47FA4C" w:rsidRDefault="2F47FA4C" w14:paraId="2BB6E340" w14:textId="24E0946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銷項稅額 = 銷售額 * 徵收率</w:t>
      </w:r>
    </w:p>
    <w:p w:rsidR="2F47FA4C" w:rsidP="2F47FA4C" w:rsidRDefault="2F47FA4C" w14:paraId="50F4DF26" w14:textId="6A71EED1">
      <w:pPr>
        <w:pStyle w:val="Normal"/>
        <w:spacing w:after="160" w:line="279" w:lineRule="auto"/>
        <w:ind w:firstLine="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銷貨額</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 xml:space="preserve"> + </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銷項稅額</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 xml:space="preserve"> = </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統一發票總額</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 xml:space="preserve"> (</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備註：根據相關規範規定</w:t>
      </w: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w:t>
      </w:r>
    </w:p>
    <w:p w:rsidR="2F47FA4C" w:rsidP="2F47FA4C" w:rsidRDefault="2F47FA4C" w14:paraId="1324B2BC" w14:textId="48ADDE54">
      <w:pPr>
        <w:pStyle w:val="Normal"/>
        <w:spacing w:after="160" w:line="279" w:lineRule="auto"/>
        <w:ind w:firstLine="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1725466E" w14:textId="35CB004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注意：</w:t>
      </w:r>
    </w:p>
    <w:p w:rsidR="2F47FA4C" w:rsidP="2F47FA4C" w:rsidRDefault="2F47FA4C" w14:paraId="3471BA7B" w14:textId="6086AB4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根據所得稅法規定，稅額需四捨五入至個位數。</w:t>
      </w:r>
    </w:p>
    <w:p w:rsidR="2F47FA4C" w:rsidP="2F47FA4C" w:rsidRDefault="2F47FA4C" w14:paraId="2EF1E3D8" w14:textId="0AA033E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1362B960" w14:textId="493684B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8"/>
          <w:szCs w:val="48"/>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48"/>
          <w:szCs w:val="48"/>
          <w:lang w:val="en-US" w:eastAsia="ja-JP"/>
        </w:rPr>
        <w:t>相關規範</w:t>
      </w:r>
    </w:p>
    <w:p w:rsidR="2F47FA4C" w:rsidP="2F47FA4C" w:rsidRDefault="2F47FA4C" w14:paraId="22DD990A" w14:textId="733FC3F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8"/>
          <w:szCs w:val="48"/>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40"/>
          <w:szCs w:val="40"/>
          <w:lang w:val="en-US" w:eastAsia="ja-JP"/>
        </w:rPr>
        <w:t>銷項稅額</w:t>
      </w:r>
    </w:p>
    <w:p w:rsidR="2F47FA4C" w:rsidP="2F47FA4C" w:rsidRDefault="2F47FA4C" w14:paraId="17CA0C9C" w14:textId="6A78CD61">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0D4DEA0D" w14:textId="3B5D4CB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根據加值型及非加值型營業稅法第32條第2項規定。</w:t>
      </w:r>
    </w:p>
    <w:p w:rsidR="2F47FA4C" w:rsidP="2F47FA4C" w:rsidRDefault="2F47FA4C" w14:paraId="65151476" w14:textId="2B0A9F4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 xml:space="preserve">營業人在銷售應稅貨物之定價或勞務定價應包含營業稅。 </w:t>
      </w:r>
    </w:p>
    <w:p w:rsidR="2F47FA4C" w:rsidP="2F47FA4C" w:rsidRDefault="2F47FA4C" w14:paraId="46FB0938" w14:textId="61F7285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備註：</w:t>
      </w:r>
    </w:p>
    <w:p w:rsidR="2F47FA4C" w:rsidP="2F47FA4C" w:rsidRDefault="2F47FA4C" w14:paraId="2482289F" w14:textId="5E7B273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於2011/01/10經三讀修正並通過。</w:t>
      </w:r>
    </w:p>
    <w:p w:rsidR="2F47FA4C" w:rsidP="2F47FA4C" w:rsidRDefault="2F47FA4C" w14:paraId="3D4665B3" w14:textId="4A96FEA1">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 xml:space="preserve">  </w:t>
      </w:r>
    </w:p>
    <w:p w:rsidR="2F47FA4C" w:rsidP="2F47FA4C" w:rsidRDefault="2F47FA4C" w14:paraId="683EC3B3" w14:textId="757EF1B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根據加值型及非加值型營業稅法第32條第3項規定。</w:t>
      </w:r>
    </w:p>
    <w:p w:rsidR="2F47FA4C" w:rsidP="2F47FA4C" w:rsidRDefault="2F47FA4C" w14:paraId="790FE254" w14:textId="139E172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當買受人為營業人時，則應該在統一發票上分別載明銷項稅額和銷售額。</w:t>
      </w:r>
    </w:p>
    <w:p w:rsidR="2F47FA4C" w:rsidP="2F47FA4C" w:rsidRDefault="2F47FA4C" w14:paraId="57468056" w14:textId="240C6E0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但若買受人不為營業人，則應該在統一發票載明定價。(把定價當成銷項稅額 + 銷售額。)</w:t>
      </w:r>
    </w:p>
    <w:p w:rsidR="2F47FA4C" w:rsidP="2F47FA4C" w:rsidRDefault="2F47FA4C" w14:paraId="488D160B" w14:textId="6BA8491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0661014C" w14:textId="46CF8A3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8"/>
          <w:szCs w:val="48"/>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40"/>
          <w:szCs w:val="40"/>
          <w:lang w:val="en-US" w:eastAsia="ja-JP"/>
        </w:rPr>
        <w:t>進項稅額</w:t>
      </w:r>
    </w:p>
    <w:p w:rsidR="2F47FA4C" w:rsidP="2F47FA4C" w:rsidRDefault="2F47FA4C" w14:paraId="0D0B0CDB" w14:textId="1E200AB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40"/>
          <w:szCs w:val="40"/>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36"/>
          <w:szCs w:val="36"/>
          <w:lang w:val="en-US" w:eastAsia="ja-JP"/>
        </w:rPr>
        <w:t>不得扣抵項目</w:t>
      </w:r>
    </w:p>
    <w:p w:rsidR="2F47FA4C" w:rsidP="2F47FA4C" w:rsidRDefault="2F47FA4C" w14:paraId="2EAE4737" w14:textId="624D4FF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參考加值型及非加值型營業稅法第19條規定。</w:t>
      </w:r>
    </w:p>
    <w:p w:rsidR="2F47FA4C" w:rsidP="2F47FA4C" w:rsidRDefault="2F47FA4C" w14:paraId="0AD728D8" w14:textId="4C7E663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11CB17EF" w14:textId="707478C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法條：</w:t>
      </w:r>
    </w:p>
    <w:p w:rsidR="2F47FA4C" w:rsidP="2F47FA4C" w:rsidRDefault="2F47FA4C" w14:paraId="034071AD" w14:textId="60612FDC">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07DECC9D" w14:textId="470681B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加值型及非加值型營業稅法第19條規定。</w:t>
      </w:r>
    </w:p>
    <w:p w:rsidR="2F47FA4C" w:rsidP="2F47FA4C" w:rsidRDefault="2F47FA4C" w14:paraId="336C4D24" w14:textId="049DBE9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4595AC59" w14:textId="368E7DC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法條內容：</w:t>
      </w:r>
    </w:p>
    <w:p w:rsidR="2F47FA4C" w:rsidP="2F47FA4C" w:rsidRDefault="2F47FA4C" w14:paraId="0469E49D" w14:textId="7CC96537">
      <w:pPr>
        <w:pStyle w:val="Normal"/>
      </w:pPr>
      <w:hyperlink r:id="R3ec93e5ceba3487b">
        <w:r w:rsidRPr="2F47FA4C" w:rsidR="2F47FA4C">
          <w:rPr>
            <w:rStyle w:val="Hyperlink"/>
            <w:noProof w:val="0"/>
          </w:rPr>
          <w:t>第 19 條</w:t>
        </w:r>
      </w:hyperlink>
    </w:p>
    <w:p w:rsidR="2F47FA4C" w:rsidP="2F47FA4C" w:rsidRDefault="2F47FA4C" w14:paraId="4181DA9E" w14:textId="59CA2DE8">
      <w:pPr>
        <w:pStyle w:val="Normal"/>
        <w:rPr>
          <w:noProof w:val="0"/>
        </w:rPr>
      </w:pPr>
      <w:r w:rsidR="2F47FA4C">
        <w:rPr>
          <w:noProof w:val="0"/>
        </w:rPr>
        <w:t>營業人左列進項稅額，不得扣抵銷項稅額：</w:t>
      </w:r>
    </w:p>
    <w:p w:rsidR="2F47FA4C" w:rsidP="2F47FA4C" w:rsidRDefault="2F47FA4C" w14:paraId="1FD208A6" w14:textId="02C08086">
      <w:pPr>
        <w:pStyle w:val="Normal"/>
        <w:rPr>
          <w:noProof w:val="0"/>
        </w:rPr>
      </w:pPr>
      <w:r w:rsidR="2F47FA4C">
        <w:rPr>
          <w:noProof w:val="0"/>
        </w:rPr>
        <w:t>一、購進之貨物或勞務未依規定取得並保存第三十三條所列之憑證者。</w:t>
      </w:r>
    </w:p>
    <w:p w:rsidR="2F47FA4C" w:rsidP="2F47FA4C" w:rsidRDefault="2F47FA4C" w14:paraId="310D93FD" w14:textId="7C2CDB14">
      <w:pPr>
        <w:pStyle w:val="Normal"/>
        <w:rPr>
          <w:noProof w:val="0"/>
        </w:rPr>
      </w:pPr>
      <w:r w:rsidR="2F47FA4C">
        <w:rPr>
          <w:noProof w:val="0"/>
        </w:rPr>
        <w:t>二、非供本業及附屬業務使用之貨物或勞務。但為協助國防建設、慰勞軍隊及對政府捐獻者，不在此限。</w:t>
      </w:r>
    </w:p>
    <w:p w:rsidR="2F47FA4C" w:rsidP="2F47FA4C" w:rsidRDefault="2F47FA4C" w14:paraId="2BF9DBE7" w14:textId="3B2198BB">
      <w:pPr>
        <w:pStyle w:val="Normal"/>
        <w:rPr>
          <w:noProof w:val="0"/>
        </w:rPr>
      </w:pPr>
      <w:r w:rsidR="2F47FA4C">
        <w:rPr>
          <w:noProof w:val="0"/>
        </w:rPr>
        <w:t>三、交際應酬用之貨物或勞務。</w:t>
      </w:r>
    </w:p>
    <w:p w:rsidR="2F47FA4C" w:rsidP="2F47FA4C" w:rsidRDefault="2F47FA4C" w14:paraId="04FEB8B1" w14:textId="257127C5">
      <w:pPr>
        <w:pStyle w:val="Normal"/>
        <w:rPr>
          <w:noProof w:val="0"/>
        </w:rPr>
      </w:pPr>
      <w:r w:rsidR="2F47FA4C">
        <w:rPr>
          <w:noProof w:val="0"/>
        </w:rPr>
        <w:t>四、酬勞員工個人之貨物或勞務。</w:t>
      </w:r>
    </w:p>
    <w:p w:rsidR="2F47FA4C" w:rsidP="2F47FA4C" w:rsidRDefault="2F47FA4C" w14:paraId="549E6DAC" w14:textId="22431C58">
      <w:pPr>
        <w:pStyle w:val="Normal"/>
        <w:rPr>
          <w:noProof w:val="0"/>
        </w:rPr>
      </w:pPr>
      <w:r w:rsidR="2F47FA4C">
        <w:rPr>
          <w:noProof w:val="0"/>
        </w:rPr>
        <w:t>五、自用乘人小汽車。</w:t>
      </w:r>
    </w:p>
    <w:p w:rsidR="2F47FA4C" w:rsidP="2F47FA4C" w:rsidRDefault="2F47FA4C" w14:paraId="1E34F24D" w14:textId="37305636">
      <w:pPr>
        <w:pStyle w:val="Normal"/>
        <w:rPr>
          <w:noProof w:val="0"/>
        </w:rPr>
      </w:pPr>
      <w:r w:rsidR="2F47FA4C">
        <w:rPr>
          <w:noProof w:val="0"/>
        </w:rPr>
        <w:t>營業人專營第八條第一項免稅貨物或勞務者，其進項稅額不得申請退還。</w:t>
      </w:r>
    </w:p>
    <w:p w:rsidR="2F47FA4C" w:rsidP="2F47FA4C" w:rsidRDefault="2F47FA4C" w14:paraId="5C9E6A1A" w14:textId="6B140580">
      <w:pPr>
        <w:pStyle w:val="Normal"/>
        <w:rPr>
          <w:noProof w:val="0"/>
        </w:rPr>
      </w:pPr>
      <w:r w:rsidR="2F47FA4C">
        <w:rPr>
          <w:noProof w:val="0"/>
        </w:rPr>
        <w:t>營業人因兼營第八條第一項免稅貨物或勞務，或因本法其他規定而有部分不得扣抵情形者，其進項稅額不得扣抵銷項稅額之比例與計算辦法，由財政部定之。</w:t>
      </w:r>
    </w:p>
    <w:p w:rsidR="2F47FA4C" w:rsidP="2F47FA4C" w:rsidRDefault="2F47FA4C" w14:paraId="206D83D5" w14:textId="4E26EED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p w:rsidR="2F47FA4C" w:rsidP="2F47FA4C" w:rsidRDefault="2F47FA4C" w14:paraId="72B186F6" w14:textId="5030EC2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備註：</w:t>
      </w:r>
    </w:p>
    <w:p w:rsidR="2F47FA4C" w:rsidP="2F47FA4C" w:rsidRDefault="2F47FA4C" w14:paraId="5E8ED72A" w14:textId="29C8F0D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根據營利事業所得稅查核準則第90條規定。</w:t>
      </w:r>
    </w:p>
    <w:p w:rsidR="2F47FA4C" w:rsidP="2F47FA4C" w:rsidRDefault="2F47FA4C" w14:paraId="542036B4" w14:textId="1EB35B8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36"/>
          <w:szCs w:val="36"/>
          <w:lang w:val="en-US" w:eastAsia="ja-JP"/>
        </w:rPr>
      </w:pPr>
      <w:r w:rsidRPr="2F47FA4C" w:rsidR="2F47FA4C">
        <w:rPr>
          <w:rFonts w:ascii="Aptos" w:hAnsi="Aptos" w:eastAsia="Aptos" w:cs="Aptos"/>
          <w:b w:val="0"/>
          <w:bCs w:val="0"/>
          <w:i w:val="0"/>
          <w:iCs w:val="0"/>
          <w:caps w:val="0"/>
          <w:smallCaps w:val="0"/>
          <w:noProof w:val="0"/>
          <w:color w:val="000000" w:themeColor="text1" w:themeTint="FF" w:themeShade="FF"/>
          <w:sz w:val="24"/>
          <w:szCs w:val="24"/>
          <w:lang w:val="en-US" w:eastAsia="ja-JP"/>
        </w:rPr>
        <w:t>加值型及非加值型營業稅法第19條第3款所規定的交際費可以列支在營利事業所得稅費用。</w:t>
      </w:r>
    </w:p>
    <w:p w:rsidR="2F47FA4C" w:rsidP="2F47FA4C" w:rsidRDefault="2F47FA4C" w14:paraId="39E8BD9F" w14:textId="3B402CA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eastAsia="ja-JP"/>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57154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9653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3a0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87E56"/>
    <w:rsid w:val="2CC87E56"/>
    <w:rsid w:val="2F47F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7E56"/>
  <w15:chartTrackingRefBased/>
  <w15:docId w15:val="{1E6F251A-6E1D-485C-86F8-C4AC4AE61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80&amp;flno=19" TargetMode="External" Id="R3ec93e5ceba3487b" /><Relationship Type="http://schemas.openxmlformats.org/officeDocument/2006/relationships/numbering" Target="numbering.xml" Id="R8f10bdf4e32d44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2024-04-13T07:07:15.6066148Z</dcterms:created>
  <dcterms:modified xsi:type="dcterms:W3CDTF">2024-04-14T07:23:34.0599087Z</dcterms:modified>
  <dc:creator>奕捷 黃</dc:creator>
  <lastModifiedBy>奕捷 黃</lastModifiedBy>
</coreProperties>
</file>