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40"/>
          <w:szCs w:val="40"/>
        </w:rPr>
        <w:t xml:space="preserve">Launch Roadmap — From Repo to Revenue</w:t>
      </w:r>
    </w:p>
    <w:p>
      <w:pPr>
        <w:spacing w:after="160"/>
        <w:rPr>
          <w:i/>
          <w:iCs/>
          <w:color w:val="555555"/>
        </w:rPr>
      </w:pPr>
      <w:r>
        <w:rPr>
          <w:i/>
          <w:iCs/>
          <w:color w:val="555555"/>
        </w:rPr>
        <w:t xml:space="preserve">Companion to the Business Plan. Sequenced for a solo founder; calendar assumes part-time effort. Dates are targets from June 2026.</w:t>
      </w:r>
    </w:p>
    <w:p>
      <w:pPr>
        <w:pStyle w:val="Heading1"/>
      </w:pPr>
      <w:r>
        <w:t xml:space="preserve">Phase 0 — Foundation (June–July 2026, weeks 1–4)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Rename. Pick a trademark-clear, pronounceable name; screen via USPTO TESS, buy the .com/.app. Everything downstream (cert, site, installer) uses the new name, so this is genuinely first.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Harden security: finish argon2 password hashing + HTTPS for WAN exposure; default LAN-only; write SECURITY.md and a responsible-disclosure address. Do not launch a surveillance product without this.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Validate the cross-platform claim: build and test on an Apple Silicon Mac (CoreML EP) and a Linux/CUDA box. If macOS slips, launch Windows-first and say so honestly.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Code signing: buy a Windows Authenticode certificate (SmartScreen otherwise blocks the NSIS installer) and join the Apple Developer Program ($99/yr) for notarized macOS builds.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Webcam-validate the live browser features that shipped build-green but unvalidated: gesture overlay, polygon zone editor, touchless PTZ.</w:t>
      </w:r>
    </w:p>
    <w:p>
      <w:pPr>
        <w:pStyle w:val="Heading1"/>
      </w:pPr>
      <w:r>
        <w:t xml:space="preserve">Phase 1 — Sellable Product (July–August 2026, weeks 5–8)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Licensing infrastructure: Lemon Squeezy account, $79 product + $29/yr update plan, license-key issuance via their API; add key activation (2 machines) + offline grace to the app. Keep the check local-friendly — never brick a camera system because a license server is unreachable.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Trial mode: 30-day full-featured trial with a clean in-app upgrade path.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Website: landing page (positioning sentence + 90-second demo video), docs site, compatibility list, download links. The demo video is the highest-leverage marketing asset — show CLIP search and the duress gesture.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Crash/error reporting (opt-in) so beta issues are diagnosable.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Auto-update channel for the desktop app — shipping fixes fast is the indie superpower.</w:t>
      </w:r>
    </w:p>
    <w:p>
      <w:pPr>
        <w:pStyle w:val="Heading1"/>
      </w:pPr>
      <w:r>
        <w:t xml:space="preserve">Phase 2 — Private Beta (August–September 2026, weeks 9–14)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Recruit 50–100 testers from IP Cam Talk, r/BlueIris, r/selfhosted, Home Assistant forums; free founder licenses for actionable reports.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Stand up a Discord (support + community) and a public issue tracker.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Build the camera-compatibility matrix from real beta hardware; fix the top-10 pain points.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Pricing validation: survey beta users on willingness to pay before locking $79.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Line up 3–5 YouTube reviewers under embargo; ship them licenses + a press kit.</w:t>
      </w:r>
    </w:p>
    <w:p>
      <w:pPr>
        <w:pStyle w:val="Heading1"/>
      </w:pPr>
      <w:r>
        <w:t xml:space="preserve">Phase 3 — Public Launch (October 2026)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Coordinated: reviewer embargo lifts + Show HN + Product Hunt + posts in the communities that supplied beta testers, same week.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Founder pricing $59 for the first 500 licenses, then $79.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Be terminally online for launch week: HN comments, Reddit threads, Discord. Responsiveness is the review.</w:t>
      </w:r>
    </w:p>
    <w:p>
      <w:pPr>
        <w:pStyle w:val="Heading1"/>
      </w:pPr>
      <w:r>
        <w:t xml:space="preserve">Phase 4 — Post-launch (Q4 2026 →)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Ship visibly every 2–4 weeks; publish a public roadmap.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SEO content: 'Blue Iris alternative for Mac', 'Frigate without Docker', migration guides.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Year-2 revenue layers: update-plan renewals; optional cloud relay subscription (~$4–5/mo) for zero-config remote access.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Reassess open-sourcing non-differentiating components (e.g. the gesture crate) as marketing.</w:t>
      </w:r>
    </w:p>
    <w:p>
      <w:pPr>
        <w:pStyle w:val="Heading1"/>
      </w:pPr>
      <w:r>
        <w:t xml:space="preserve">Budget (cash needed before first revenue)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300"/>
        <w:gridCol w:w="2360"/>
      </w:tblGrid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Domain + trademark screening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$50–500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0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Windows code-signing cert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$200–400/yr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0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Apple Developer Program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$99/yr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0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Site + docs hosting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$0–20/mo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cameras (2–3 extra brands)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$200–400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External auth/security review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$500–2,000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$1,100–3,500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Kill criteria worth writing down now: if the beta cohort converts below ~10% at $59, or support load exceeds what evenings can absorb at 100 users, revisit pricing, scope, or the solo-founder assumption before public launch.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Launch Roadmap —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80"/>
      <w:outlineLvl w:val="0"/>
    </w:pPr>
    <w:rPr>
      <w:rFonts w:ascii="Arial" w:cs="Arial" w:eastAsia="Arial" w:hAnsi="Arial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2026-06-12T18:53:52.063Z</dcterms:created>
  <dcterms:modified xsi:type="dcterms:W3CDTF">2026-06-12T18:53:52.063Z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