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611A8A2" wp14:paraId="03A8C84D" wp14:textId="0AE16B12">
      <w:pPr>
        <w:widowControl w:val="0"/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5206ED25"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國立東華大學</w:t>
      </w:r>
    </w:p>
    <w:p xmlns:wp14="http://schemas.microsoft.com/office/word/2010/wordml" w:rsidP="2611A8A2" wp14:paraId="17CF6950" wp14:textId="28594D00">
      <w:pPr>
        <w:widowControl w:val="0"/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5206ED25"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臺灣文化學系</w:t>
      </w:r>
    </w:p>
    <w:p xmlns:wp14="http://schemas.microsoft.com/office/word/2010/wordml" w:rsidP="2611A8A2" wp14:paraId="7D993771" wp14:textId="00D3D2B2">
      <w:pPr>
        <w:widowControl w:val="0"/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5206ED25"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東台灣文化資產</w:t>
      </w:r>
    </w:p>
    <w:p w:rsidR="2611A8A2" w:rsidRDefault="2611A8A2" w14:paraId="0E951CAB" w14:textId="32AE22B8">
      <w:r>
        <w:br w:type="page"/>
      </w:r>
    </w:p>
    <w:p w:rsidR="33971C03" w:rsidP="2611A8A2" w:rsidRDefault="33971C03" w14:paraId="00EB62E8" w14:textId="163F2764">
      <w:pPr>
        <w:pStyle w:val="Normal"/>
        <w:widowControl w:val="0"/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33971C03"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目錄</w:t>
      </w:r>
    </w:p>
    <w:sdt>
      <w:sdtPr>
        <w:id w:val="370008915"/>
        <w:docPartObj>
          <w:docPartGallery w:val="Table of Contents"/>
          <w:docPartUnique/>
        </w:docPartObj>
      </w:sdtPr>
      <w:sdtContent>
        <w:p w:rsidR="2611A8A2" w:rsidP="2611A8A2" w:rsidRDefault="2611A8A2" w14:paraId="77138970" w14:textId="5FF13E59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2001236229">
            <w:r w:rsidRPr="2611A8A2" w:rsidR="2611A8A2">
              <w:rPr>
                <w:rStyle w:val="Hyperlink"/>
              </w:rPr>
              <w:t>壹、緒論</w:t>
            </w:r>
            <w:r>
              <w:tab/>
            </w:r>
            <w:r>
              <w:fldChar w:fldCharType="begin"/>
            </w:r>
            <w:r>
              <w:instrText xml:space="preserve">PAGEREF _Toc2001236229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2611A8A2" w:rsidP="2611A8A2" w:rsidRDefault="2611A8A2" w14:paraId="22599924" w14:textId="583216E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95688012">
            <w:r w:rsidRPr="2611A8A2" w:rsidR="2611A8A2">
              <w:rPr>
                <w:rStyle w:val="Hyperlink"/>
              </w:rPr>
              <w:t>研究背景</w:t>
            </w:r>
            <w:r>
              <w:tab/>
            </w:r>
            <w:r>
              <w:fldChar w:fldCharType="begin"/>
            </w:r>
            <w:r>
              <w:instrText xml:space="preserve">PAGEREF _Toc795688012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611A8A2" w:rsidP="2611A8A2" w:rsidRDefault="2611A8A2" w14:paraId="7B006E86" w14:textId="6DE3536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341102513">
            <w:r w:rsidRPr="2611A8A2" w:rsidR="2611A8A2">
              <w:rPr>
                <w:rStyle w:val="Hyperlink"/>
              </w:rPr>
              <w:t>研究目的</w:t>
            </w:r>
            <w:r>
              <w:tab/>
            </w:r>
            <w:r>
              <w:fldChar w:fldCharType="begin"/>
            </w:r>
            <w:r>
              <w:instrText xml:space="preserve">PAGEREF _Toc341102513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611A8A2" w:rsidP="2611A8A2" w:rsidRDefault="2611A8A2" w14:paraId="63C1D9E3" w14:textId="54233EC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97952744">
            <w:r w:rsidRPr="2611A8A2" w:rsidR="2611A8A2">
              <w:rPr>
                <w:rStyle w:val="Hyperlink"/>
              </w:rPr>
              <w:t>貳、史前文化的見證</w:t>
            </w:r>
            <w:r>
              <w:tab/>
            </w:r>
            <w:r>
              <w:fldChar w:fldCharType="begin"/>
            </w:r>
            <w:r>
              <w:instrText xml:space="preserve">PAGEREF _Toc1597952744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611A8A2" w:rsidP="2611A8A2" w:rsidRDefault="2611A8A2" w14:paraId="0F11F5F6" w14:textId="3F20F51B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97159203">
            <w:r w:rsidRPr="2611A8A2" w:rsidR="2611A8A2">
              <w:rPr>
                <w:rStyle w:val="Hyperlink"/>
              </w:rPr>
              <w:t>巨石文化的傳說</w:t>
            </w:r>
            <w:r>
              <w:tab/>
            </w:r>
            <w:r>
              <w:fldChar w:fldCharType="begin"/>
            </w:r>
            <w:r>
              <w:instrText xml:space="preserve">PAGEREF _Toc1197159203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2611A8A2" w:rsidP="2611A8A2" w:rsidRDefault="2611A8A2" w14:paraId="1368D633" w14:textId="2072B149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67082143">
            <w:r w:rsidRPr="2611A8A2" w:rsidR="2611A8A2">
              <w:rPr>
                <w:rStyle w:val="Hyperlink"/>
              </w:rPr>
              <w:t>考古發掘的意義</w:t>
            </w:r>
            <w:r>
              <w:tab/>
            </w:r>
            <w:r>
              <w:fldChar w:fldCharType="begin"/>
            </w:r>
            <w:r>
              <w:instrText xml:space="preserve">PAGEREF _Toc1267082143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2611A8A2" w:rsidP="2611A8A2" w:rsidRDefault="2611A8A2" w14:paraId="0F0627CD" w14:textId="76E7250F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59089458">
            <w:r w:rsidRPr="2611A8A2" w:rsidR="2611A8A2">
              <w:rPr>
                <w:rStyle w:val="Hyperlink"/>
              </w:rPr>
              <w:t>參、原住民族無形文化資產</w:t>
            </w:r>
            <w:r>
              <w:tab/>
            </w:r>
            <w:r>
              <w:fldChar w:fldCharType="begin"/>
            </w:r>
            <w:r>
              <w:instrText xml:space="preserve">PAGEREF _Toc959089458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2611A8A2" w:rsidP="2611A8A2" w:rsidRDefault="2611A8A2" w14:paraId="286FF2AB" w14:textId="4D2290E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54786247">
            <w:r w:rsidRPr="2611A8A2" w:rsidR="2611A8A2">
              <w:rPr>
                <w:rStyle w:val="Hyperlink"/>
              </w:rPr>
              <w:t>歲時祭儀的傳承</w:t>
            </w:r>
            <w:r>
              <w:tab/>
            </w:r>
            <w:r>
              <w:fldChar w:fldCharType="begin"/>
            </w:r>
            <w:r>
              <w:instrText xml:space="preserve">PAGEREF _Toc654786247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2611A8A2" w:rsidP="2611A8A2" w:rsidRDefault="2611A8A2" w14:paraId="1E188CE8" w14:textId="71D2142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87919440">
            <w:r w:rsidRPr="2611A8A2" w:rsidR="2611A8A2">
              <w:rPr>
                <w:rStyle w:val="Hyperlink"/>
              </w:rPr>
              <w:t>傳統工藝和技術</w:t>
            </w:r>
            <w:r>
              <w:tab/>
            </w:r>
            <w:r>
              <w:fldChar w:fldCharType="begin"/>
            </w:r>
            <w:r>
              <w:instrText xml:space="preserve">PAGEREF _Toc1287919440 \h</w:instrText>
            </w:r>
            <w:r>
              <w:fldChar w:fldCharType="separate"/>
            </w:r>
            <w:r w:rsidRPr="2611A8A2" w:rsidR="2611A8A2">
              <w:rPr>
                <w:rStyle w:val="Hyperlink"/>
              </w:rPr>
              <w:t>11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611A8A2" w:rsidP="2611A8A2" w:rsidRDefault="2611A8A2" w14:paraId="75CF37AD" w14:textId="68E017DB">
      <w:pPr>
        <w:pStyle w:val="Normal"/>
        <w:widowControl w:val="0"/>
        <w:rPr>
          <w:rFonts w:ascii="Microsoft JhengHei" w:hAnsi="Microsoft JhengHei" w:eastAsia="新細明體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w:rsidR="2611A8A2" w:rsidRDefault="2611A8A2" w14:paraId="08195744" w14:textId="76A07FC7">
      <w:r>
        <w:br w:type="page"/>
      </w:r>
    </w:p>
    <w:p w:rsidR="34D39118" w:rsidP="2611A8A2" w:rsidRDefault="34D39118" w14:paraId="5C547AAD" w14:textId="1B964A5B">
      <w:pPr>
        <w:pStyle w:val="Heading1"/>
        <w:keepNext w:val="1"/>
        <w:keepLines w:val="1"/>
        <w:widowControl w:val="0"/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eastAsia="zh-TW"/>
        </w:rPr>
      </w:pPr>
      <w:bookmarkStart w:name="_Toc2001236229" w:id="1957443006"/>
      <w:r w:rsidR="34D39118">
        <w:rPr>
          <w:noProof w:val="0"/>
        </w:rPr>
        <w:t>壹</w:t>
      </w:r>
      <w:r w:rsidR="34D39118">
        <w:rPr>
          <w:noProof w:val="0"/>
        </w:rPr>
        <w:t>、緒</w:t>
      </w:r>
      <w:r w:rsidR="34D39118">
        <w:rPr>
          <w:noProof w:val="0"/>
        </w:rPr>
        <w:t>論</w:t>
      </w:r>
      <w:bookmarkEnd w:id="1957443006"/>
    </w:p>
    <w:p w:rsidR="2611A8A2" w:rsidP="2611A8A2" w:rsidRDefault="2611A8A2" w14:paraId="0C6382F3" w14:textId="3DF4A5B8">
      <w:pPr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eastAsia="zh-TW"/>
        </w:rPr>
      </w:pPr>
    </w:p>
    <w:p w:rsidR="34D39118" w:rsidP="2611A8A2" w:rsidRDefault="34D39118" w14:paraId="04DBF92E" w14:textId="0CD02DFF">
      <w:pPr>
        <w:pStyle w:val="Heading2"/>
        <w:keepNext w:val="1"/>
        <w:keepLines w:val="1"/>
        <w:widowControl w:val="0"/>
        <w:spacing w:before="160" w:beforeAutospacing="off" w:after="80" w:afterAutospacing="off" w:line="279" w:lineRule="auto"/>
        <w:ind w:left="0" w:rightChars="0"/>
        <w:jc w:val="left"/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</w:pPr>
      <w:bookmarkStart w:name="_Toc795688012" w:id="1497659200"/>
      <w:r w:rsidRPr="2611A8A2" w:rsidR="34D39118"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  <w:t>研究背景</w:t>
      </w:r>
      <w:bookmarkEnd w:id="1497659200"/>
    </w:p>
    <w:p w:rsidR="34D39118" w:rsidP="2611A8A2" w:rsidRDefault="34D39118" w14:paraId="3FC276A6" w14:textId="550BF02E">
      <w:pPr>
        <w:widowControl w:val="0"/>
        <w:ind w:firstLine="48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34D39118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長期以來，東台灣在中央山脈的屏障與太平洋的環抱下，被賦予了「後山」的稱號。然而，這種地理上的隔離，反而為這片土地保留了台灣最完整且層次分明的文化景觀。東台灣不僅是自然美景的代名詞，更是一座**「活體博物館」**。從三千多年前卑南文化的巨石遺址，到現今原住民族群依然傳唱的祭儀歌聲，這裡的文化資產呈現了一種橫跨史前、清領、日治乃至現代的連續性。</w:t>
      </w:r>
    </w:p>
    <w:p w:rsidR="34D39118" w:rsidP="2611A8A2" w:rsidRDefault="34D39118" w14:paraId="79DEEE26" w14:textId="5311D88B">
      <w:pPr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34D39118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隨著全球化浪潮與現代城市開發的衝擊，文化資產的保存已不再只是單純的「留住舊建築」，而是一場關於族群身分認同與土地記憶的保衛戰。東台灣的文化資產具有其特殊性：它不僅包含實體的建築與遺址（如有形文化資產），更深植於部落的口傳文學、祭典與傳統工藝（如無形文化資產）。這些資產在過去曾因政權更迭或資源分配不均而被邊緣化，但在當代「地方創生」與「多元文化主義」的推動下，它們重新成為連結部落與社會、傳統與現代的橋樑。</w:t>
      </w:r>
    </w:p>
    <w:p w:rsidR="34D39118" w:rsidP="2611A8A2" w:rsidRDefault="34D39118" w14:paraId="59DE1114" w14:textId="5BEB4C27">
      <w:pPr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34D39118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然而，在觀光產業蓬勃發展的今日，東台灣的文化資產也面臨了嚴峻挑戰。如何在「遊客湧入的經濟效益」與「祭儀神聖性的維護」之間取得平衡？如何在頻繁的地震與颱風威脅下，永續保存脆弱的木構造與遺址？這些問題正是本報告研究的初衷。透過對花東地區文化資產的系統性梳理，我們不僅是在回顧歷史，更是試圖在山海之間尋找一種與土地共生的未來可能性，讓這份珍貴的文化脈動不因時間而消逝。</w:t>
      </w:r>
    </w:p>
    <w:p w:rsidR="2611A8A2" w:rsidP="2611A8A2" w:rsidRDefault="2611A8A2" w14:paraId="711DCB9B" w14:textId="25EFC260">
      <w:pPr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eastAsia="zh-TW"/>
        </w:rPr>
      </w:pPr>
    </w:p>
    <w:p w:rsidR="34D39118" w:rsidP="2611A8A2" w:rsidRDefault="34D39118" w14:paraId="6043461D" w14:textId="1D01C717">
      <w:pPr>
        <w:pStyle w:val="Heading2"/>
        <w:keepNext w:val="1"/>
        <w:keepLines w:val="1"/>
        <w:widowControl w:val="0"/>
        <w:spacing w:before="160" w:after="80"/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</w:pPr>
      <w:bookmarkStart w:name="_Toc341102513" w:id="128209250"/>
      <w:r w:rsidRPr="2611A8A2" w:rsidR="34D39118"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  <w:t>研究目的</w:t>
      </w:r>
      <w:bookmarkEnd w:id="128209250"/>
    </w:p>
    <w:p w:rsidR="34D39118" w:rsidP="2611A8A2" w:rsidRDefault="34D39118" w14:paraId="14A9F85E" w14:textId="3DA12548">
      <w:pPr>
        <w:widowControl w:val="0"/>
        <w:ind w:firstLine="48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34D39118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本專題報告的核心目標，在於透過系統性的梳理與實地案例分析，深入探討東台灣文化資產的多樣性及其在當代社會中的存在價值。具體研究目的可歸納為以下四個面向：</w:t>
      </w:r>
    </w:p>
    <w:p w:rsidR="34D39118" w:rsidP="2611A8A2" w:rsidRDefault="34D39118" w14:paraId="16BEC4EE" w14:textId="1058ADD9">
      <w:pPr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34D39118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1. 梳理跨時空的文化層次與歷史軸線</w:t>
      </w:r>
    </w:p>
    <w:p w:rsidR="34D39118" w:rsidP="2611A8A2" w:rsidRDefault="34D39118" w14:paraId="5607701D" w14:textId="19D74290">
      <w:pPr>
        <w:widowControl w:val="0"/>
        <w:ind w:firstLine="48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2611A8A2" w:rsidR="34D39118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東台灣的文化並非單一的切片，而是由史前巨石、原住民部落傳統、日治時期開發遺跡以及戰後移民色彩交織而成的複層結構。本研究旨在釐清這些不同歷史時期的文化資產如何疊加與演變，建立一套完整的花東文化廊道地圖，使讀者能跨越「後山」的地理偏見，看見其作為台灣歷史先鋒的深厚底蘊。</w:t>
      </w:r>
    </w:p>
    <w:p w:rsidR="34D39118" w:rsidP="2611A8A2" w:rsidRDefault="34D39118" w14:paraId="7DE10337" w14:textId="6CFE97C7">
      <w:pPr>
        <w:pStyle w:val="Normal"/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34D39118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 xml:space="preserve">2. </w:t>
      </w:r>
      <w:r w:rsidRPr="2611A8A2" w:rsidR="34D39118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探究無形文化資產與族群認同的連結</w:t>
      </w:r>
      <w:r>
        <w:br/>
      </w:r>
    </w:p>
    <w:p w:rsidR="2611A8A2" w:rsidRDefault="2611A8A2" w14:paraId="61E77F31" w14:textId="3970E829">
      <w:r>
        <w:br w:type="page"/>
      </w:r>
    </w:p>
    <w:p w:rsidR="17E5EE44" w:rsidP="2611A8A2" w:rsidRDefault="17E5EE44" w14:paraId="4575539F" w14:textId="7AF6B83C">
      <w:pPr>
        <w:pStyle w:val="Heading1"/>
        <w:keepNext w:val="1"/>
        <w:keepLines w:val="1"/>
        <w:widowControl w:val="0"/>
        <w:spacing w:before="360" w:after="80"/>
        <w:rPr>
          <w:rFonts w:ascii="Microsoft JhengHei" w:hAnsi="Microsoft JhengHei" w:eastAsia="Microsoft JhengHei" w:cs="Microsoft JhengHei"/>
          <w:noProof w:val="0"/>
          <w:sz w:val="24"/>
          <w:szCs w:val="24"/>
          <w:lang w:val="en-US"/>
        </w:rPr>
      </w:pPr>
      <w:bookmarkStart w:name="_Toc1597952744" w:id="402297987"/>
      <w:r w:rsidRPr="2611A8A2" w:rsidR="17E5EE44"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eastAsia="zh-TW"/>
        </w:rPr>
        <w:t>貳、史前文化的見證</w:t>
      </w:r>
      <w:bookmarkEnd w:id="402297987"/>
    </w:p>
    <w:p w:rsidR="2611A8A2" w:rsidP="2611A8A2" w:rsidRDefault="2611A8A2" w14:paraId="299A3BCD" w14:textId="48B181D8">
      <w:pPr>
        <w:pStyle w:val="Heading2"/>
        <w:widowControl w:val="0"/>
        <w:rPr>
          <w:noProof w:val="0"/>
          <w:lang w:val="en-US"/>
        </w:rPr>
      </w:pPr>
    </w:p>
    <w:p w:rsidR="17E5EE44" w:rsidP="2611A8A2" w:rsidRDefault="17E5EE44" w14:paraId="5E1493DC" w14:textId="79A64C51">
      <w:pPr>
        <w:pStyle w:val="Heading2"/>
        <w:widowControl w:val="0"/>
        <w:rPr>
          <w:rFonts w:ascii="Microsoft JhengHei" w:hAnsi="Microsoft JhengHei" w:eastAsia="Microsoft JhengHei" w:cs="Microsoft JhengHei"/>
          <w:b w:val="1"/>
          <w:bCs w:val="1"/>
          <w:noProof w:val="0"/>
          <w:color w:val="2E9CB8" w:themeColor="accent2" w:themeTint="FF" w:themeShade="FF"/>
          <w:lang w:val="en-US"/>
        </w:rPr>
      </w:pPr>
      <w:bookmarkStart w:name="_Toc1197159203" w:id="1666403256"/>
      <w:r w:rsidRPr="2611A8A2" w:rsidR="17E5EE44">
        <w:rPr>
          <w:noProof w:val="0"/>
          <w:lang w:val="en-US"/>
        </w:rPr>
        <w:t>巨石文化的傳說</w:t>
      </w:r>
      <w:bookmarkEnd w:id="1666403256"/>
    </w:p>
    <w:p w:rsidR="17E5EE44" w:rsidP="2611A8A2" w:rsidRDefault="17E5EE44" w14:paraId="0707BC93" w14:textId="667ADA4B">
      <w:pPr>
        <w:pStyle w:val="Normal"/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在東台灣那片被太平洋海風反覆修飾的海岸線上，以及被中央山脈溫柔環抱的花東縱谷裡，靜默地矗立著一群沈重的、巨大的、卻又充滿靈性的「長者」。它們不是山峰，也不是礁石，而是史前人類留在這片土地上的印記——巨石文化。這些石柱、石壁、石槽與石棺，在考古學家的眼中是冰冷的斷代座標，但在在地部落與流傳千年的傳說中，它們是會呼吸的歷史，是大地裸露出的骨骼。</w:t>
      </w:r>
    </w:p>
    <w:p w:rsidR="17E5EE44" w:rsidP="2611A8A2" w:rsidRDefault="17E5EE44" w14:paraId="794D8BC6" w14:textId="49D49621">
      <w:pPr>
        <w:pStyle w:val="Normal"/>
        <w:widowControl w:val="0"/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當我們談論東台灣的巨石文化，最無法繞過的起點便是卑南遺址那根孤獨的「月形石柱」。如果你曾在那片草坡上駐足，看著它在夕陽下投射出的長影，你會感受到一種莫名的謙卑。傳說中，這根石柱並非孤身一人，它曾是一座巨大宮殿的支柱，或者是通往天界的神聖階梯。在卑南族的口傳文學裡，這片土地曾是繁榮的聚落，石柱見證了祖先從神祕的起源地漂流而來，紮根於此。有人說，這些石柱是守護者的化身，在黑夜裡，它們會緩緩轉動，確保山下的部落不被惡靈侵擾。更有趣的一種說法是，石柱上的圓孔並非為了結構支撐，而是為了讓月光穿過，當月亮移動到特定的角度，光束會指引祖先靈魂回家的路。這種對光與石的精準掌握，讓現代人不禁懷疑，在那個沒有大型機具的年代，史前人類是如何將這些重達數噸的板岩從遠處運來，並精確地豎立在泥土之中？或許，正如耆老所言，那是一個「石頭會走路」的年代，萬物皆有靈，人與石之間存在著一種現代人早已遺忘的默契。</w:t>
      </w:r>
    </w:p>
    <w:p w:rsidR="17E5EE44" w:rsidP="2611A8A2" w:rsidRDefault="17E5EE44" w14:paraId="33D23C91" w14:textId="456D46AD">
      <w:pPr>
        <w:pStyle w:val="Normal"/>
        <w:widowControl w:val="0"/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沿著海岸線往北走，來到台東長濱或都蘭一帶，麒麟文化的巨石則呈現出另一種野性。這裡的巨石不再僅僅是垂直的柱子，更多的是被掏空、被修飾過的石槽與單面石壁。當地的傳說裡，常提到「巨人」的存在。這些巨石被形容為巨人們棄置的餐具或洗澡盆。想像一下，在雷電交加的夜晚，身高數丈的巨人在海岸山脈間跨步，他們隨手在山巔鑿出巨大的石槽來收集雨水，或是用石壁堆疊成避風的屏障。雖然這在科學上被解釋為祭祀用途或穀物加工，但當你親手觸摸那粗糙卻有著人工痕跡的邊緣，看著那巨大如棺木或水池的結構，心裡確實很難不產生一種關於「巨大生命」的敬畏。</w:t>
      </w:r>
    </w:p>
    <w:p w:rsidR="17E5EE44" w:rsidP="2611A8A2" w:rsidRDefault="17E5EE44" w14:paraId="48BBF1B1" w14:textId="1DB4DB5F">
      <w:pPr>
        <w:pStyle w:val="Normal"/>
        <w:widowControl w:val="0"/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在東台灣的史前敘事中，巨石往往與「起源」緊密相連。許多南島語族的創世神話裡，祖先並非誕生於溫暖的子宮，而是從崩裂的巨石中破殼而出。這種「石生傳說」賦予了石頭一種母性的溫度。石頭不再是冰冷、堅硬、死亡的象徵，而是生命最原始的容器。在阿美族的傳說中，某些特定的巨石是神靈降臨的地點，甚至是土地的靈魂（Vuvu）寄託之處。因此，這些巨石周圍往往長滿了茂密的禁忌森林，未經許可的人若是驚擾了石頭的沉眠，便會招來風暴。這種對巨石的禁忌，本質上是古代東台灣人對自然界「恆久性」的一種崇拜。人的一生如草木枯榮，轉瞬即逝，唯有巨石，能跨越千年，看著山河改道，看著族群遷徙，依然保持著最初的姿態。</w:t>
      </w:r>
    </w:p>
    <w:p w:rsidR="17E5EE44" w:rsidP="2611A8A2" w:rsidRDefault="17E5EE44" w14:paraId="4DF91F86" w14:textId="5A0F5AAE">
      <w:pPr>
        <w:pStyle w:val="Normal"/>
        <w:widowControl w:val="0"/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然而，這些巨石並非總是沈默的受難者。在日治時期，許多巨石因為鐵路或道路的開發而被迫遷移或毀損。傳說中，當挖掘機試圖強行移動那些有靈性的石頭時，機器會莫名故障，或是挖掘者會接連生病。這些靈異的故事，其實是土地在用它最後的力量發出吶喊。在台東的某些老聚落裡，至今還流傳著關於「會跳動的石槽」的故事，說是在大地震前夕，地底會傳來沉重的摩擦聲，那是巨石在調整位置，準備迎接地殼的震盪。</w:t>
      </w:r>
    </w:p>
    <w:p w:rsidR="17E5EE44" w:rsidP="2611A8A2" w:rsidRDefault="17E5EE44" w14:paraId="736EA28C" w14:textId="364EF235">
      <w:pPr>
        <w:pStyle w:val="Normal"/>
        <w:widowControl w:val="0"/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走入現代，巨石文化已成為東台灣最神祕的文化圖騰。我們不再需要巨人來搬動石頭，但我們卻失去了與石頭對話的能力。在卑南遺址公園，我們隔著圍欄看著那些殘存的石柱，它們像是被關在博物館裡的長老，雖然失去了往日的祭儀煙火，但那種「與天共存」的氣場依然強大。這些巨石傳說告訴我們，東台灣的歷史不是寫在紙上的，而是鑿進石頭裡的。每一道刻痕都是一首詩，每一處圓孔都是一隻望向宇宙的眼睛。</w:t>
      </w:r>
    </w:p>
    <w:p w:rsidR="17E5EE44" w:rsidP="2611A8A2" w:rsidRDefault="17E5EE44" w14:paraId="6AAC9563" w14:textId="190F156C">
      <w:pPr>
        <w:pStyle w:val="Normal"/>
        <w:widowControl w:val="0"/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當你下一次造訪東台灣，看見路邊那些不對稱、不規則的巨石時，不妨停下腳步。別急著用手機去定義它，試著去感受那股從地底深處傳來的冰涼與厚重。在那個瞬間，你或許能聽見那跨越五千年的低語：關於巨人的足跡、關於月光的航路、關於生命如何從最堅硬的荒涼中孕育而出。這些傳說，並非迷信的殘餘，而是東台灣這片土地最深情的自白——告訴我們，無論時代如何更迭，總有一些東西，像石頭一樣，值得我們永恆地守候。</w:t>
      </w:r>
    </w:p>
    <w:p w:rsidR="2611A8A2" w:rsidP="2611A8A2" w:rsidRDefault="2611A8A2" w14:paraId="53AD51A8" w14:textId="18CD84AC">
      <w:pPr>
        <w:pStyle w:val="Heading2"/>
        <w:widowControl w:val="0"/>
        <w:rPr>
          <w:noProof w:val="0"/>
          <w:lang w:val="en-US"/>
        </w:rPr>
      </w:pPr>
    </w:p>
    <w:p w:rsidR="17E5EE44" w:rsidP="2611A8A2" w:rsidRDefault="17E5EE44" w14:paraId="1D9005DA" w14:textId="28935897">
      <w:pPr>
        <w:pStyle w:val="Heading2"/>
        <w:widowControl w:val="0"/>
        <w:rPr>
          <w:noProof w:val="0"/>
          <w:lang w:val="en-US"/>
        </w:rPr>
      </w:pPr>
      <w:bookmarkStart w:name="_Toc1267082143" w:id="1639289547"/>
      <w:r w:rsidRPr="2611A8A2" w:rsidR="17E5EE44">
        <w:rPr>
          <w:noProof w:val="0"/>
          <w:lang w:val="en-US"/>
        </w:rPr>
        <w:t>考古發掘的意義</w:t>
      </w:r>
      <w:bookmarkEnd w:id="1639289547"/>
    </w:p>
    <w:p w:rsidR="17E5EE44" w:rsidP="2611A8A2" w:rsidRDefault="17E5EE44" w14:paraId="4482185D" w14:textId="36CAF5D3">
      <w:pPr>
        <w:pStyle w:val="Normal"/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考古發掘絕非單純的掘土尋寶，而是一場跨越時空的對話，是一次慎重而嚴謹的「歷史重建」工程。在文字尚未出現的史前東台灣，土地便是唯一的史書，而每一層地層都是一頁泛黃的篇章。考古學家透過科學性的挖掘，細膩地剝開時間的塵封，其核心意義在於將碎片化的遺存轉化為具體的歷史敘事。當我們從泥土中清理出一枚破碎的陶片、一把磨製精良的石錛，或是長眠於石棺中的先民遺骸，我們所看見的不僅是物件本身，更是數千年前生活溫度的殘留。</w:t>
      </w:r>
    </w:p>
    <w:p w:rsidR="17E5EE44" w:rsidP="2611A8A2" w:rsidRDefault="17E5EE44" w14:paraId="25B35680" w14:textId="60CB4E63">
      <w:pPr>
        <w:pStyle w:val="Normal"/>
        <w:widowControl w:val="0"/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透過考古發掘，我們得以精確地重建古人的日常生活。從卑南遺址出土的精緻玉器中，我們看見了史前人類高超的工藝技術與美學追求，甚至能推敲出當時跨海、跨區域的龐大貿易網絡，這證明了東台灣在數千年前絕非孤立的荒島，而是南島語族文化圈中極其活躍的中心節點。這種發現填補了文字記載之前的巨大空白，讓「史前」不再只是虛無縹緲的推測，而是擁有數據支持、有物理證據支撐的真實存在。</w:t>
      </w:r>
    </w:p>
    <w:p w:rsidR="17E5EE44" w:rsidP="2611A8A2" w:rsidRDefault="17E5EE44" w14:paraId="7542944E" w14:textId="2AC673F2">
      <w:pPr>
        <w:pStyle w:val="Normal"/>
        <w:widowControl w:val="0"/>
      </w:pPr>
      <w:r w:rsidRPr="2611A8A2" w:rsidR="17E5EE4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  <w:t>更重要的是，考古發掘賦予了現代族群強大的認同感與文化主體性。它讓當代的人們明白，自己腳下的這片土地擁有著極其深厚的生命厚度。對於東台灣的原住民族而言，這些出土的遺址與器物是祖先遷徙與生存的鐵證，它們賦予了部落傳統更為神聖且古老的正當性。因此，考古發掘的意義最終超越了學術研究，它成為了一座橋樑，連結了過去、現在與未來，讓我們在快速變遷的當代社會中，依然能透過土地的深處，找到關於「我是誰」以及「我們從何而來」的終極答案。</w:t>
      </w:r>
    </w:p>
    <w:p w:rsidR="2A7527F4" w:rsidP="2611A8A2" w:rsidRDefault="2A7527F4" w14:paraId="7F2E668B" w14:textId="2C522CFC">
      <w:pPr>
        <w:pStyle w:val="Heading1"/>
        <w:keepNext w:val="1"/>
        <w:keepLines w:val="1"/>
        <w:widowControl w:val="0"/>
        <w:spacing w:before="360" w:after="80"/>
        <w:rPr>
          <w:rFonts w:ascii="Microsoft JhengHei" w:hAnsi="Microsoft JhengHei" w:eastAsia="Microsoft JhengHei" w:cs="Microsoft JhengHei"/>
          <w:noProof w:val="0"/>
          <w:sz w:val="24"/>
          <w:szCs w:val="24"/>
          <w:lang w:val="en-US"/>
        </w:rPr>
      </w:pPr>
      <w:bookmarkStart w:name="_Toc959089458" w:id="1013840850"/>
      <w:r w:rsidRPr="2611A8A2" w:rsidR="2A7527F4"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eastAsia="zh-TW"/>
        </w:rPr>
        <w:t>參、原住民族無形文化資產</w:t>
      </w:r>
      <w:bookmarkEnd w:id="1013840850"/>
    </w:p>
    <w:p w:rsidR="2611A8A2" w:rsidP="2611A8A2" w:rsidRDefault="2611A8A2" w14:paraId="2E3A15BD" w14:textId="6878BFCE">
      <w:pPr>
        <w:pStyle w:val="Heading2"/>
        <w:keepNext w:val="1"/>
        <w:keepLines w:val="1"/>
        <w:widowControl w:val="0"/>
        <w:spacing w:before="160" w:after="80"/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</w:pPr>
    </w:p>
    <w:p w:rsidR="2A7527F4" w:rsidP="2611A8A2" w:rsidRDefault="2A7527F4" w14:paraId="345E3B98" w14:textId="13395E3A">
      <w:pPr>
        <w:pStyle w:val="Heading2"/>
        <w:keepNext w:val="1"/>
        <w:keepLines w:val="1"/>
        <w:widowControl w:val="0"/>
        <w:spacing w:before="160" w:after="80"/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</w:pPr>
      <w:bookmarkStart w:name="_Toc654786247" w:id="1272009281"/>
      <w:r w:rsidRPr="2611A8A2" w:rsidR="2A7527F4"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  <w:t>歲時祭儀的傳承</w:t>
      </w:r>
      <w:bookmarkEnd w:id="1272009281"/>
    </w:p>
    <w:p w:rsidR="2A7527F4" w:rsidP="2611A8A2" w:rsidRDefault="2A7527F4" w14:paraId="22A2F43A" w14:textId="2B0D0D28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阿美族：在圓圈與階級中律動的生命力——Ilisin</w:t>
      </w:r>
    </w:p>
    <w:p w:rsidR="2A7527F4" w:rsidP="2611A8A2" w:rsidRDefault="2A7527F4" w14:paraId="29E12AE4" w14:textId="30363823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對阿美族人而言，夏季不只是酷暑的象徵，更是「Ilisin」（豐年祭）召喚遊子歸鄉的時刻。這項被列為國家級無形文化資產的儀式，遠遠超越了字面上「慶祝豐收」的意義，它是一場關於社會組織、年齡階級（Kapot）與祖靈溝通的盛大集體實踐。阿美族的歲時祭儀體現了一種高度秩序化的美學，這種秩序建立在嚴謹的年齡階級制度之上。從青少年時期的勞務磨練，到成年後的守護部落，每一個階級都有其對應的責任與權利。在祭儀期間，這種階級性被轉化為歌舞的排列與力度，長者領唱、中壯年領舞、青年奔走，透過層層疊疊的歌聲與整齊劃一的步伐，部落的歷史與倫理在無形中完成了一次又一次的灌輸與傳承。</w:t>
      </w:r>
    </w:p>
    <w:p w:rsidR="2A7527F4" w:rsidP="2611A8A2" w:rsidRDefault="2A7527F4" w14:paraId="5162F6A9" w14:textId="4246BDB5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Ilisin 最具代表性的視覺語彙便是「圓圈」。當族人手牽著手，在部落廣場上踏出沉穩的步伐時，那個圓圈象徵著部落的凝聚力與宇宙的循環。歌謠（Pakalongay）的傳唱並非為了表演，而是一種與神靈（Malataw）的對話。每一首古調的旋律與詞句，都承載著先民對土地的觀察與對生命的體悟。然而，在現代化的衝擊下，阿美族的祭儀也面臨著轉型壓力。隨著部落青年往都市遷移，祭儀的期程往往縮減至週末，或者為了觀光需求而產生了展演化的傾向。</w:t>
      </w:r>
    </w:p>
    <w:p w:rsidR="2A7527F4" w:rsidP="2611A8A2" w:rsidRDefault="2A7527F4" w14:paraId="43D7CDA3" w14:textId="1E82A2C2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但令人欣慰的是，當代阿美族青年正發起一場「回家的運動」。他們不再只是被動地參與祭典，而是主動記錄老人的口述歷史，重新學習消失的祭祀語言，並透過創新的方式（如數位記錄或部落小旅行）向大眾傳達 Ilisin 的神聖性。這種傳承不再僅止於形式上的歌舞，而是深根於對「階級責任」的認同感。只要那個圓圈還在旋轉，只要那雙手依然緊握，阿美族的靈魂就能在太平洋的海風中，持續跳出屬於這個時代的節奏。</w:t>
      </w:r>
    </w:p>
    <w:p w:rsidR="2611A8A2" w:rsidP="2611A8A2" w:rsidRDefault="2611A8A2" w14:paraId="0A080A91" w14:textId="389E17E2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</w:p>
    <w:p w:rsidR="2A7527F4" w:rsidP="2611A8A2" w:rsidRDefault="2A7527F4" w14:paraId="501BD04A" w14:textId="4B4A841C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布農族：向山靈與小米俯首的虔誠之聲——Malahtangia 與 Pasibutbut</w:t>
      </w:r>
    </w:p>
    <w:p w:rsidR="2A7527F4" w:rsidP="2611A8A2" w:rsidRDefault="2A7527F4" w14:paraId="55F5C2FB" w14:textId="0FE3485D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布農族的歲時祭儀，是一部寫在深山與小米田裡的生命史。作為典型的山岳民族，布農族的文化資產深刻地反映了人與自然、人與超自然神靈（Dehanin）之間的契約關係。其最具代表性的兩大核心，莫過於象徵傳承的「Malahtangia」（射耳祭）以及名聞遐邇的「Pasibutbut」（祈禱小米豐收歌，俗稱八部合音）。</w:t>
      </w:r>
    </w:p>
    <w:p w:rsidR="2A7527F4" w:rsidP="2611A8A2" w:rsidRDefault="2A7527F4" w14:paraId="74A2DB76" w14:textId="7204BD32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Malahtangia 是布農族男子生命史中最重要的成年禮。在祭儀中，長輩會帶著年幼的男孩，用弓箭射擊懸掛在木架上的鹿耳或豬耳。這項儀式不僅是狩獵技巧的傳授，更深層的意義在於**「勇氣的傳遞」與「對生命的敬畏」**。透過射耳，男孩學習如何成為一個守護家園的男人，並在長者的叮嚀聲中，接過部落的社會責任。這是一種跨世代的對話，確保了部落的生存技術與精神價值在山林間不滅。</w:t>
      </w:r>
    </w:p>
    <w:p w:rsidR="2A7527F4" w:rsidP="2611A8A2" w:rsidRDefault="2A7527F4" w14:paraId="63F0D814" w14:textId="6392819C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而 Pasibutbut 則是布農族無形文化資產中的瑰寶。這首不分部、沒有樂譜、完全仰賴歌手彼此默契與聽覺協調的歌曲，其背後有著神聖的宗教動機。布農族人相信，歌聲越高、共鳴越和諧，小米神就越能聽見族人的祈求，進而賜予豐收。在歌唱的過程中，歌者們圍成圓圈，緩緩逆時針移動，這種「螺旋式」的合音結構，在音樂人類學上是極為獨特的現象。它體現了布農族社會中「追求和諧、摒棄自我中心」的處世哲學——沒有人是主角，每個人都是支撐整體和諧的一份子。</w:t>
      </w:r>
    </w:p>
    <w:p w:rsidR="2A7527F4" w:rsidP="2611A8A2" w:rsidRDefault="2A7527F4" w14:paraId="3CA25FDB" w14:textId="71E41192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在當代，布農族的祭儀傳承面臨著信仰改變（如基督教的傳入）與農業轉型的挑戰。許多祭儀細節因不再種植小米而式微。然而，透過部落學校與文化協會的努力，布農族人開始將祭儀文化帶進教室與文化園區。他們明白，無論生活方式如何改變，那份對於大自然的謙卑以及對集體和諧的追求，始終是布農族在現代社會中屹立不搖的文化根基。那迴盪在山谷間的共鳴聲，正是布農族人對土地最深情的告白，也是東台灣最動人的文化音符。</w:t>
      </w:r>
    </w:p>
    <w:p w:rsidR="2611A8A2" w:rsidP="2611A8A2" w:rsidRDefault="2611A8A2" w14:paraId="61B512CC" w14:textId="28C6B521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</w:pPr>
    </w:p>
    <w:p w:rsidR="2A7527F4" w:rsidP="2611A8A2" w:rsidRDefault="2A7527F4" w14:paraId="6223F130" w14:textId="2263DACC">
      <w:pPr>
        <w:pStyle w:val="Heading2"/>
        <w:keepNext w:val="1"/>
        <w:keepLines w:val="1"/>
        <w:widowControl w:val="0"/>
        <w:spacing w:before="160" w:beforeLines="0" w:beforeAutospacing="off" w:after="80" w:afterLines="0" w:afterAutospacing="off" w:line="279" w:lineRule="auto"/>
        <w:ind w:left="0" w:rightChars="0"/>
        <w:jc w:val="left"/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</w:pPr>
      <w:bookmarkStart w:name="_Toc1287919440" w:id="204855319"/>
      <w:r w:rsidRPr="2611A8A2" w:rsidR="2A7527F4">
        <w:rPr>
          <w:rFonts w:ascii="Microsoft JhengHei" w:hAnsi="Microsoft JhengHei" w:eastAsia="Microsoft JhengHei" w:cs="Microsoft JhengHei"/>
          <w:b w:val="1"/>
          <w:bCs w:val="1"/>
          <w:i w:val="0"/>
          <w:iCs w:val="0"/>
          <w:caps w:val="0"/>
          <w:smallCaps w:val="0"/>
          <w:noProof w:val="0"/>
          <w:color w:val="2E9CB8" w:themeColor="accent2" w:themeTint="FF" w:themeShade="FF"/>
          <w:sz w:val="32"/>
          <w:szCs w:val="32"/>
          <w:lang w:val="en-US" w:eastAsia="zh-TW"/>
        </w:rPr>
        <w:t>傳統工藝和技術</w:t>
      </w:r>
      <w:bookmarkEnd w:id="204855319"/>
    </w:p>
    <w:p w:rsidR="2A7527F4" w:rsidP="2611A8A2" w:rsidRDefault="2A7527F4" w14:paraId="7BF2EE7C" w14:textId="43FBA49B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在東台灣這片山海交接的土地上，原住民族的傳統工藝從未僅僅是為了「裝飾」或「生產」，它們是族人與自然對話的語彙，是社會階級的標幟，更是族群記憶的載體。當我們觀察東台灣的工藝技藝時，會發現這是一場關於「自然資材轉換」的藝術，從山林的纖維到大地的土石，每一件工藝品都反映了特定族群對生態環境的深刻理解。</w:t>
      </w:r>
    </w:p>
    <w:p w:rsidR="2A7527F4" w:rsidP="2611A8A2" w:rsidRDefault="2A7527F4" w14:paraId="3B7E8DAF" w14:textId="1CBC5A6B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纖維的史詩：從香蕉絲到苧麻的編織技藝</w:t>
      </w:r>
    </w:p>
    <w:p w:rsidR="2A7527F4" w:rsidP="2611A8A2" w:rsidRDefault="2A7527F4" w14:paraId="443357B4" w14:textId="054225AD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在東台灣的纖維工藝中，最具傳奇色彩的莫過於花蓮新社部落噶瑪蘭族的「香蕉絲織布」。這項技藝曾瀕臨失傳，如今卻成為東部最具代表性的無形文化資產。香蕉絲的製作極其繁複，族人需在特定的季節砍下北蕉的假莖，一層層剝開，僅取其中間的纖維，經過刮瓤、晾曬、接線、整經到最後的織布。這種半透明、帶著植物清香的織物，質地堅韌且透氣，它不僅是過去的生活必需品，更象徵著噶瑪蘭族人在流離遷徙中守護身分認同的決心。</w:t>
      </w:r>
    </w:p>
    <w:p w:rsidR="2A7527F4" w:rsidP="2611A8A2" w:rsidRDefault="2A7527F4" w14:paraId="293F37CA" w14:textId="6E4233EB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與此同時，泰雅族、太魯閣族與布農族的「苧麻織布」則展現了另一種剛柔並濟的美學。從種植苧麻、剝皮抽絲到天然染（如薯榔的紅棕色），每一道工序都考驗著織女的耐性。對這些族群而言，織布技藝不僅是女性社會地位的象徵，其織紋中的幾何圖形——如象徵祖靈之眼的菱形紋——更是一種跨越時空的視覺溝通，傳達了對祖靈（Utux）的敬畏與守護。</w:t>
      </w:r>
    </w:p>
    <w:p w:rsidR="2A7527F4" w:rsidP="2611A8A2" w:rsidRDefault="2A7527F4" w14:paraId="1AABB5CA" w14:textId="551DBF8D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海洋與山林的工藝：造船與石造建築</w:t>
      </w:r>
    </w:p>
    <w:p w:rsidR="2A7527F4" w:rsidP="2611A8A2" w:rsidRDefault="2A7527F4" w14:paraId="32D69B38" w14:textId="1A2EB18A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轉向海洋，蘭嶼達悟族（雅美族）的「拼板舟」造船技藝則是海洋南島文化的巔峰。一艘大船（Chinurikuran）並非由單一木材製成，而是選用多達二十一種不同的樹種，根據船體不同位置的功能（如船底需耐磨、船舷需彈性）精準選材。最令人驚嘆的是，族人完全不使用鋼釘，僅憑木釘與植物纖維接合，展現出極高的流體力學與植物學知識。船身上雕刻的「船眼」與人型紋，則賦予了船隻生命，使其成為航行在黑色洋流中的守護者。</w:t>
      </w:r>
    </w:p>
    <w:p w:rsidR="2A7527F4" w:rsidP="2611A8A2" w:rsidRDefault="2A7527F4" w14:paraId="71297674" w14:textId="27B5F5C1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而在海岸山脈的另一側，排灣族與魯凱族的「石板屋建築技術」與「木雕工藝」則展現了對大地的解構力。東部的排灣族人善於利用當地的黑灰板岩與頁岩，透過精確的疊砌與力學平衡，構築出冬暖夏涼、與自然共生的家屋。建築上的木雕飾板，刻劃著百步蛇、陶甕與祖靈像，這不僅是藝術表現，更是家族地位與社會秩序的具體呈現。每一刀刻痕，都紀錄著首領家族的興衰與神話的脈絡。</w:t>
      </w:r>
    </w:p>
    <w:p w:rsidR="2A7527F4" w:rsidP="2611A8A2" w:rsidRDefault="2A7527F4" w14:paraId="1DA72DEC" w14:textId="776B70A4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靈性與色彩的交匯：陶藝與琉璃珠</w:t>
      </w:r>
    </w:p>
    <w:p w:rsidR="2A7527F4" w:rsidP="2611A8A2" w:rsidRDefault="2A7527F4" w14:paraId="0B5A2EF1" w14:textId="0C812A9C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在工藝的微觀世界裡，陶藝與琉璃珠承載了族群的靈魂。阿美族的傳統陶藝多由女性負責，她們在溪邊取土，以露天燒製的方式製作成日常生活的汲水壺或祭儀用的容器。這種對土地的親觸，體現了族群對大地之母的依賴。而排灣族的「古琉璃珠」則被視為具備靈性的珍寶，每一顆珠子都有其專屬的名稱與神話意義——如象徵勇氣的「勇士之珠」、代表地位的「孔雀之珠」。這些五彩繽紛的珠子不僅是飾品，更是交換、婚盟與社會關係的樞紐，承載了數百年的階級演變史。</w:t>
      </w:r>
    </w:p>
    <w:p w:rsidR="2A7527F4" w:rsidP="2611A8A2" w:rsidRDefault="2A7527F4" w14:paraId="0FD6DF81" w14:textId="6F702C33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當代的挑戰：技藝的活化與新生</w:t>
      </w:r>
    </w:p>
    <w:p w:rsidR="2A7527F4" w:rsidP="2611A8A2" w:rsidRDefault="2A7527F4" w14:paraId="2EE358A7" w14:textId="6033E7A4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進入二十一世紀，東台灣的原住民傳統工藝正經歷一場從「生存必需」到「文化創意」的質變。在數位浪潮與工業化量產的衝擊下，純手工的傳統技藝面臨著時間成本過高的挑戰。然而，我們也看見了新一代工藝家的覺醒。他們不再只是復刻古物，而是將傳統的技藝（如香蕉絲織布、琉璃珠燒製）轉化為現代的設計語彙，進入藝廊、時尚秀場，甚至成為國際精品的一環。</w:t>
      </w:r>
    </w:p>
    <w:p w:rsidR="2A7527F4" w:rsidP="2611A8A2" w:rsidRDefault="2A7527F4" w14:paraId="02A3DB59" w14:textId="679DF0A0">
      <w:pPr>
        <w:widowControl w:val="0"/>
        <w:spacing w:before="240" w:beforeAutospacing="off" w:after="240" w:afterAutospacing="off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</w:pPr>
      <w:r w:rsidRPr="2611A8A2" w:rsidR="2A7527F4"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這種傳承的意義，已從「技術的復刻」昇華為「精神的續命」。當代工藝家透過工作坊、部落教室，讓年輕一代重新拿起織梭、握起雕刀，這不僅是在修復一件古物，更是在修補斷裂的文化臍帶。</w:t>
      </w:r>
    </w:p>
    <w:p w:rsidR="2611A8A2" w:rsidP="2611A8A2" w:rsidRDefault="2611A8A2" w14:paraId="0CEF0339" w14:textId="05783A13">
      <w:pPr>
        <w:pStyle w:val="Normal"/>
        <w:widowControl w:val="0"/>
        <w:rPr>
          <w:rFonts w:ascii="Microsoft JhengHei" w:hAnsi="Microsoft JhengHei" w:eastAsia="Microsoft JhengHei" w:cs="Microsoft JhengHei"/>
          <w:b w:val="0"/>
          <w:bCs w:val="0"/>
          <w:i w:val="0"/>
          <w:iCs w:val="0"/>
          <w:caps w:val="0"/>
          <w:smallCaps w:val="0"/>
          <w:noProof w:val="0"/>
          <w:color w:val="1F1F1F"/>
          <w:sz w:val="24"/>
          <w:szCs w:val="24"/>
          <w:lang w:val="en-U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type="lines" w:linePitch="360"/>
      <w:headerReference w:type="default" r:id="R46c4c11b65a74aea"/>
      <w:footerReference w:type="default" r:id="R2f283838ba56469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611A8A2" w:rsidTr="2611A8A2" w14:paraId="728AE7AF">
      <w:trPr>
        <w:trHeight w:val="300"/>
      </w:trPr>
      <w:tc>
        <w:tcPr>
          <w:tcW w:w="3005" w:type="dxa"/>
          <w:tcMar/>
        </w:tcPr>
        <w:p w:rsidR="2611A8A2" w:rsidP="2611A8A2" w:rsidRDefault="2611A8A2" w14:paraId="67889E7B" w14:textId="283FE4A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611A8A2" w:rsidP="2611A8A2" w:rsidRDefault="2611A8A2" w14:paraId="3E9B9EA2" w14:textId="31BAC348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005" w:type="dxa"/>
          <w:tcMar/>
        </w:tcPr>
        <w:p w:rsidR="2611A8A2" w:rsidP="2611A8A2" w:rsidRDefault="2611A8A2" w14:paraId="2449C7D8" w14:textId="614217ED">
          <w:pPr>
            <w:pStyle w:val="Header"/>
            <w:bidi w:val="0"/>
            <w:ind w:right="-115"/>
            <w:jc w:val="right"/>
          </w:pPr>
        </w:p>
      </w:tc>
    </w:tr>
  </w:tbl>
  <w:p w:rsidR="2611A8A2" w:rsidP="2611A8A2" w:rsidRDefault="2611A8A2" w14:paraId="1C0EF046" w14:textId="0812F0D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611A8A2" w:rsidTr="2611A8A2" w14:paraId="7A9FDEDC">
      <w:trPr>
        <w:trHeight w:val="300"/>
      </w:trPr>
      <w:tc>
        <w:tcPr>
          <w:tcW w:w="3005" w:type="dxa"/>
          <w:tcMar/>
        </w:tcPr>
        <w:p w:rsidR="2611A8A2" w:rsidP="2611A8A2" w:rsidRDefault="2611A8A2" w14:paraId="7880C2EE" w14:textId="72903D1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611A8A2" w:rsidP="2611A8A2" w:rsidRDefault="2611A8A2" w14:paraId="41889EA7" w14:textId="3E55090E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611A8A2" w:rsidP="2611A8A2" w:rsidRDefault="2611A8A2" w14:paraId="5745AC4D" w14:textId="636BF4F0">
          <w:pPr>
            <w:pStyle w:val="Header"/>
            <w:bidi w:val="0"/>
            <w:ind w:right="-115"/>
            <w:jc w:val="right"/>
          </w:pPr>
        </w:p>
      </w:tc>
    </w:tr>
  </w:tbl>
  <w:p w:rsidR="2611A8A2" w:rsidP="2611A8A2" w:rsidRDefault="2611A8A2" w14:paraId="32E9E62E" w14:textId="484EB4E9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bordersDoNotSurroundHeader/>
  <w:bordersDoNotSurroundFooter/>
  <w:proofState w:spelling="clean" w:grammar="dirty"/>
  <w:trackRevisions w:val="false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F1A89FF"/>
    <w:rsid w:val="01E5124C"/>
    <w:rsid w:val="16CD1F48"/>
    <w:rsid w:val="17E5EE44"/>
    <w:rsid w:val="2611A8A2"/>
    <w:rsid w:val="2A7527F4"/>
    <w:rsid w:val="33971C03"/>
    <w:rsid w:val="34D39118"/>
    <w:rsid w:val="47E3F573"/>
    <w:rsid w:val="50CAC2D7"/>
    <w:rsid w:val="50CAC2D7"/>
    <w:rsid w:val="5206ED25"/>
    <w:rsid w:val="5E73E400"/>
    <w:rsid w:val="61548534"/>
    <w:rsid w:val="641CD624"/>
    <w:rsid w:val="6D44ECB0"/>
    <w:rsid w:val="6D44ECB0"/>
    <w:rsid w:val="6E9DC165"/>
    <w:rsid w:val="7F1A89FF"/>
    <w:rsid w:val="7F79B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A89FF"/>
  <w15:chartTrackingRefBased/>
  <w15:docId w15:val="{89375455-1D8A-4B9A-94BF-37ACD88DB0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kern w:val="2"/>
        <w:sz w:val="24"/>
        <w:szCs w:val="22"/>
        <w:lang w:val="en-US" w:eastAsia="zh-TW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0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link w:val="Heading1Char"/>
    <w:qFormat/>
    <w:rsid w:val="2611A8A2"/>
    <w:rPr>
      <w:rFonts w:ascii="Microsoft JhengHei" w:hAnsi="Microsoft JhengHei" w:eastAsia="Microsoft JhengHei" w:cs="Microsoft JhengHei"/>
      <w:b w:val="1"/>
      <w:bCs w:val="1"/>
      <w:noProof w:val="0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2611A8A2"/>
    <w:rPr>
      <w:rFonts w:ascii="Microsoft JhengHei" w:hAnsi="Microsoft JhengHei" w:eastAsia="Microsoft JhengHei" w:cs="Microsoft JhengHei"/>
      <w:b w:val="1"/>
      <w:bCs w:val="1"/>
      <w:noProof w:val="0"/>
      <w:color w:val="2E9CB8" w:themeColor="accent2" w:themeTint="FF" w:themeShade="FF"/>
      <w:sz w:val="32"/>
      <w:szCs w:val="32"/>
      <w:lang w:val="en-US"/>
    </w:rPr>
    <w:pPr>
      <w:keepNext w:val="1"/>
      <w:keepLines w:val="1"/>
      <w:spacing w:before="160" w:after="80"/>
      <w:outlineLvl w:val="1"/>
    </w:pPr>
  </w:style>
  <w:style w:type="paragraph" w:styleId="NoSpacing">
    <w:uiPriority w:val="1"/>
    <w:name w:val="No Spacing"/>
    <w:basedOn w:val="Heading1"/>
    <w:qFormat/>
    <w:rsid w:val="2611A8A2"/>
    <w:rPr>
      <w:rFonts w:ascii="新細明體" w:hAnsi="新細明體" w:eastAsia="新細明體" w:cs="" w:asciiTheme="majorAscii" w:hAnsiTheme="majorAscii" w:eastAsiaTheme="majorEastAsia" w:cstheme="majorBidi"/>
      <w:i w:val="0"/>
      <w:iCs w:val="0"/>
      <w:caps w:val="0"/>
      <w:smallCaps w:val="0"/>
      <w:lang w:eastAsia="zh-TW"/>
    </w:rPr>
  </w:style>
  <w:style w:type="character" w:styleId="Heading1Char" w:customStyle="true">
    <w:uiPriority w:val="9"/>
    <w:name w:val="Heading 1 Char"/>
    <w:basedOn w:val="DefaultParagraphFont"/>
    <w:link w:val="Heading1"/>
    <w:rsid w:val="2611A8A2"/>
    <w:rPr>
      <w:rFonts w:ascii="Microsoft JhengHei" w:hAnsi="Microsoft JhengHei" w:eastAsia="Microsoft JhengHei" w:cs="Microsoft JhengHei"/>
      <w:b w:val="1"/>
      <w:bCs w:val="1"/>
      <w:noProof w:val="0"/>
      <w:color w:val="0F4761" w:themeColor="accent1" w:themeTint="FF" w:themeShade="BF"/>
      <w:sz w:val="40"/>
      <w:szCs w:val="40"/>
    </w:rPr>
  </w:style>
  <w:style w:type="paragraph" w:styleId="Header">
    <w:uiPriority w:val="99"/>
    <w:name w:val="header"/>
    <w:basedOn w:val="Normal"/>
    <w:unhideWhenUsed/>
    <w:rsid w:val="2611A8A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611A8A2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2611A8A2"/>
    <w:rPr>
      <w:color w:val="518B9B"/>
      <w:u w:val="single"/>
    </w:rPr>
  </w:style>
  <w:style w:type="paragraph" w:styleId="TOC1">
    <w:uiPriority w:val="39"/>
    <w:name w:val="toc 1"/>
    <w:basedOn w:val="Normal"/>
    <w:next w:val="Normal"/>
    <w:unhideWhenUsed/>
    <w:rsid w:val="2611A8A2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2611A8A2"/>
    <w:pPr>
      <w:spacing w:after="100"/>
      <w:ind w:left="22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46c4c11b65a74aea" /><Relationship Type="http://schemas.openxmlformats.org/officeDocument/2006/relationships/footer" Target="footer.xml" Id="R2f283838ba56469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2E9CB8"/>
      </a:accent2>
      <a:accent3>
        <a:srgbClr val="E97132"/>
      </a:accent3>
      <a:accent4>
        <a:srgbClr val="196B24"/>
      </a:accent4>
      <a:accent5>
        <a:srgbClr val="4EA72E"/>
      </a:accent5>
      <a:accent6>
        <a:srgbClr val="C80724"/>
      </a:accent6>
      <a:hlink>
        <a:srgbClr val="518B9B"/>
      </a:hlink>
      <a:folHlink>
        <a:srgbClr val="96607D"/>
      </a:folHlink>
    </a:clrScheme>
    <a:fontScheme name="Office">
      <a:majorFont>
        <a:latin typeface="新細明體"/>
        <a:ea typeface="新細明體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icrosoft JhengHei"/>
        <a:ea typeface="新細明體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2026-03-23T09:47:24.3468273Z</dcterms:created>
  <dcterms:modified xsi:type="dcterms:W3CDTF">2026-03-23T09:54:31.2508631Z</dcterms:modified>
  <dc:creator>呂佑恩</dc:creator>
  <lastModifiedBy>呂佑恩</lastModifiedBy>
</coreProperties>
</file>