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D88C9C" w:rsidP="618EB152" w:rsidRDefault="43D88C9C" w14:paraId="4CE94409" w14:textId="49C21E25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18EB152" w:rsidR="43D88C9C">
        <w:rPr>
          <w:rFonts w:ascii="新細明體" w:hAnsi="新細明體" w:eastAsia="新細明體" w:cs="新細明體"/>
          <w:noProof w:val="0"/>
          <w:sz w:val="24"/>
          <w:szCs w:val="24"/>
          <w:lang w:val="en-US" w:eastAsia="zh-TW"/>
        </w:rPr>
        <w:t>國立東華大學</w:t>
      </w:r>
    </w:p>
    <w:p w:rsidR="43D88C9C" w:rsidP="618EB152" w:rsidRDefault="43D88C9C" w14:paraId="7E3E7586" w14:textId="2C9B7E65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18EB152" w:rsidR="43D88C9C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臺灣文化學系</w:t>
      </w:r>
    </w:p>
    <w:p w:rsidR="3A6D5230" w:rsidP="618EB152" w:rsidRDefault="3A6D5230" w14:paraId="0340FAE6" w14:textId="4CFFE3B4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18EB152" w:rsidR="3A6D5230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東台灣文化資產</w:t>
      </w:r>
    </w:p>
    <w:p w:rsidR="2A845A72" w:rsidP="2A845A72" w:rsidRDefault="2A845A72" w14:paraId="26B1047A" w14:textId="697A7641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</w:p>
    <w:p w:rsidR="618EB152" w:rsidRDefault="618EB152" w14:paraId="28D07570" w14:textId="606E673C">
      <w:r>
        <w:br w:type="page"/>
      </w:r>
    </w:p>
    <w:p w:rsidR="505619E1" w:rsidP="618EB152" w:rsidRDefault="505619E1" w14:paraId="3CB278C3" w14:textId="6AADB555">
      <w:pPr>
        <w:pStyle w:val="Normal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18EB152" w:rsidR="505619E1">
        <w:rPr>
          <w:rFonts w:ascii="新細明體" w:hAnsi="新細明體" w:eastAsia="新細明體" w:cs="新細明體"/>
          <w:noProof w:val="0"/>
          <w:sz w:val="24"/>
          <w:szCs w:val="24"/>
          <w:lang w:val="en-US" w:eastAsia="zh-TW"/>
        </w:rPr>
        <w:t>目錄</w:t>
      </w:r>
    </w:p>
    <w:p w:rsidR="618EB152" w:rsidRDefault="618EB152" w14:paraId="54FB6AFA" w14:textId="1A2B028A">
      <w:r>
        <w:br w:type="page"/>
      </w:r>
    </w:p>
    <w:p w:rsidR="6F2C1109" w:rsidP="618EB152" w:rsidRDefault="6F2C1109" w14:paraId="3CBF1069" w14:textId="0FD65FA4">
      <w:pPr>
        <w:pStyle w:val="Normal"/>
        <w:rPr>
          <w:rFonts w:ascii="Microsoft JhengHei" w:hAnsi="Microsoft JhengHei" w:eastAsia="Microsoft JhengHei" w:cs="Microsoft JhengHei"/>
          <w:b w:val="1"/>
          <w:bCs w:val="1"/>
          <w:noProof w:val="0"/>
          <w:color w:val="156082" w:themeColor="accent1" w:themeTint="FF" w:themeShade="FF"/>
          <w:sz w:val="40"/>
          <w:szCs w:val="40"/>
          <w:lang w:eastAsia="zh-TW"/>
        </w:rPr>
      </w:pPr>
      <w:r w:rsidRPr="618EB152" w:rsidR="6F2C1109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0"/>
          <w:szCs w:val="40"/>
          <w:lang w:eastAsia="zh-TW"/>
        </w:rPr>
        <w:t>壹、緒論</w:t>
      </w:r>
    </w:p>
    <w:p w:rsidR="618EB152" w:rsidP="618EB152" w:rsidRDefault="618EB152" w14:paraId="0B3EAA29" w14:textId="51170E21">
      <w:pPr>
        <w:pStyle w:val="Normal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72CFEC3E" w:rsidP="618EB152" w:rsidRDefault="72CFEC3E" w14:paraId="68658AE9" w14:textId="55EDE447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  <w:lang w:val="en-US"/>
        </w:rPr>
      </w:pPr>
      <w:r w:rsidRPr="618EB152" w:rsidR="72CFEC3E"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val="en-US" w:eastAsia="zh-TW"/>
        </w:rPr>
        <w:t>研究</w:t>
      </w:r>
      <w:r w:rsidRPr="618EB152" w:rsidR="006AD4E0"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val="en-US" w:eastAsia="zh-TW"/>
        </w:rPr>
        <w:t>背景</w:t>
      </w:r>
      <w:r>
        <w:tab/>
      </w:r>
      <w:r>
        <w:tab/>
      </w:r>
      <w:r>
        <w:tab/>
      </w:r>
    </w:p>
    <w:p w:rsidR="006AD4E0" w:rsidP="618EB152" w:rsidRDefault="006AD4E0" w14:paraId="0130A4B2" w14:textId="1A486337">
      <w:pPr>
        <w:pStyle w:val="Normal"/>
        <w:ind w:firstLine="480"/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 w:eastAsia="zh-TW"/>
        </w:rPr>
      </w:pPr>
      <w:r w:rsidRPr="618EB152" w:rsidR="006AD4E0"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 w:eastAsia="zh-TW"/>
        </w:rPr>
        <w:t>長期以來，東台灣在中央山脈的屏障與太平洋的環抱下，被賦予了「後山」的稱號。然而，這種地理上的隔離，反而為這片土地保留了台灣最完整且層次分明的文化景觀。東台灣不僅是自然美景的代名詞，更是一座**「活體博物館」**。從三千多年前卑南文化的巨石遺址，到現今原住民族群依然傳唱的祭儀歌聲，這裡的文化資產呈現了一種橫跨史前、清領、日治乃至現代的連續性。</w:t>
      </w:r>
    </w:p>
    <w:p w:rsidR="006AD4E0" w:rsidP="618EB152" w:rsidRDefault="006AD4E0" w14:paraId="4ED00D57" w14:textId="19EFB550">
      <w:pPr>
        <w:pStyle w:val="Normal"/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 w:eastAsia="zh-TW"/>
        </w:rPr>
      </w:pPr>
      <w:r w:rsidRPr="618EB152" w:rsidR="006AD4E0">
        <w:rPr>
          <w:rFonts w:ascii="Microsoft JhengHei" w:hAnsi="Microsoft JhengHei" w:eastAsia="Microsoft JhengHei" w:cs="Microsoft JhengHei"/>
          <w:noProof w:val="0"/>
          <w:sz w:val="24"/>
          <w:szCs w:val="24"/>
          <w:lang w:val="en-US" w:eastAsia="zh-TW"/>
        </w:rPr>
        <w:t>隨著全球化浪潮與現代城市開發的衝擊，文化資產的保存已不再只是單純的「留住舊建築」，而是一場關於族群身分認同與土地記憶的保衛戰。東台灣的文化資產具有其特殊性：它不僅包含實體的建築與遺址（如有形文化資產），更深植於部落的口傳文學、祭典與傳統工藝（如無形文化資產）。這些資產在過去曾因政權更迭或資源分配不均而被邊緣化，但在當代「地方創生」與「多元文化主義」的推動下，它們重新成為連結部落與社會、傳統與現代的橋樑。</w:t>
      </w:r>
    </w:p>
    <w:p w:rsidR="006AD4E0" w:rsidP="618EB152" w:rsidRDefault="006AD4E0" w14:paraId="7A8A3BBC" w14:textId="0988AF7E">
      <w:pPr>
        <w:pStyle w:val="Normal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  <w:r w:rsidRPr="618EB152" w:rsidR="006AD4E0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然而，在觀光產業蓬勃發展的今日，東台灣的文化資產也面臨了嚴峻挑戰。如何在「遊客湧入的經濟效益」與「祭儀神聖性的維護」之間取得平衡？如何在頻繁的地震與颱風威脅下，永續保存脆弱的木構造與遺址？這些問題正是本報告研究的初衷。透過對花東地區文化資產的系統性梳理，我們不僅是在回顧歷史，更是試圖在山海之間尋找一種與土地共生的未來可能性，讓這份珍貴的文化脈動不因時間而消逝。</w:t>
      </w:r>
    </w:p>
    <w:p w:rsidR="618EB152" w:rsidP="618EB152" w:rsidRDefault="618EB152" w14:paraId="007148D8" w14:textId="4BF45EEF">
      <w:pPr>
        <w:pStyle w:val="Normal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006AD4E0" w:rsidP="618EB152" w:rsidRDefault="006AD4E0" w14:paraId="230EBE1B" w14:textId="7978007C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  <w:lang w:val="en-US"/>
        </w:rPr>
      </w:pPr>
      <w:r w:rsidRPr="618EB152" w:rsidR="006AD4E0"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val="en-US" w:eastAsia="zh-TW"/>
        </w:rPr>
        <w:t>研究目的</w:t>
      </w:r>
      <w:r>
        <w:tab/>
      </w:r>
      <w:r>
        <w:tab/>
      </w:r>
      <w:r>
        <w:tab/>
      </w:r>
    </w:p>
    <w:p w:rsidR="003998F9" w:rsidP="618EB152" w:rsidRDefault="003998F9" w14:paraId="46654212" w14:textId="296AAA07">
      <w:pPr>
        <w:pStyle w:val="Normal"/>
        <w:ind w:firstLine="480"/>
        <w:rPr>
          <w:rFonts w:ascii="Microsoft JhengHei" w:hAnsi="Microsoft JhengHei" w:eastAsia="Microsoft JhengHei" w:cs="Microsoft JhengHei"/>
        </w:rPr>
      </w:pPr>
    </w:p>
    <w:p w:rsidR="003998F9" w:rsidP="618EB152" w:rsidRDefault="003998F9" w14:paraId="5465BCA3" w14:textId="38718215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003998F9" w:rsidP="618EB152" w:rsidRDefault="003998F9" w14:paraId="4EE2CE1F" w14:textId="6B811854">
      <w:pPr>
        <w:pStyle w:val="Normal"/>
        <w:ind w:firstLine="480"/>
        <w:rPr>
          <w:rFonts w:ascii="Microsoft JhengHei" w:hAnsi="Microsoft JhengHei" w:eastAsia="Microsoft JhengHei" w:cs="Microsoft JhengHei"/>
        </w:rPr>
      </w:pPr>
    </w:p>
    <w:p w:rsidR="003998F9" w:rsidP="618EB152" w:rsidRDefault="003998F9" w14:paraId="666720EF" w14:textId="0FD28B0E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003998F9" w:rsidP="618EB152" w:rsidRDefault="003998F9" w14:paraId="0AD566F0" w14:textId="5C9ED727">
      <w:pPr>
        <w:pStyle w:val="Normal"/>
        <w:ind w:firstLine="480"/>
        <w:rPr>
          <w:rFonts w:ascii="Microsoft JhengHei" w:hAnsi="Microsoft JhengHei" w:eastAsia="Microsoft JhengHei" w:cs="Microsoft JhengHei"/>
        </w:rPr>
      </w:pPr>
    </w:p>
    <w:p w:rsidR="003998F9" w:rsidP="618EB152" w:rsidRDefault="003998F9" w14:paraId="5841924A" w14:textId="7687C790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003998F9" w:rsidP="618EB152" w:rsidRDefault="003998F9" w14:paraId="4AC49103" w14:textId="2AAA34E3">
      <w:pPr>
        <w:pStyle w:val="Normal"/>
        <w:ind w:firstLine="480"/>
        <w:rPr>
          <w:rFonts w:ascii="Microsoft JhengHei" w:hAnsi="Microsoft JhengHei" w:eastAsia="Microsoft JhengHei" w:cs="Microsoft JhengHei"/>
        </w:rPr>
      </w:pPr>
    </w:p>
    <w:p w:rsidR="618EB152" w:rsidP="618EB152" w:rsidRDefault="618EB152" w14:paraId="6B8BAD08" w14:textId="7198BEF7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</w:rPr>
      </w:pPr>
    </w:p>
    <w:p w:rsidR="0B3B89B6" w:rsidP="618EB152" w:rsidRDefault="0B3B89B6" w14:paraId="5C9DF969" w14:textId="6D2634AE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  <w:lang w:val="en-US"/>
        </w:rPr>
      </w:pPr>
    </w:p>
    <w:p w:rsidR="0B3B89B6" w:rsidP="618EB152" w:rsidRDefault="0B3B89B6" w14:paraId="618D1D5C" w14:textId="28D6A3A0">
      <w:pPr>
        <w:pStyle w:val="Normal"/>
        <w:ind w:firstLine="0"/>
        <w:rPr>
          <w:rFonts w:ascii="Microsoft JhengHei" w:hAnsi="Microsoft JhengHei" w:eastAsia="Microsoft JhengHei" w:cs="Microsoft JhengHei"/>
        </w:rPr>
      </w:pPr>
    </w:p>
    <w:p w:rsidR="0B3B89B6" w:rsidP="618EB152" w:rsidRDefault="0B3B89B6" w14:paraId="29AF1AA9" w14:textId="3CA84DBA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0B3B89B6" w:rsidP="618EB152" w:rsidRDefault="0B3B89B6" w14:paraId="19A75A39" w14:textId="0206D1D9">
      <w:pPr>
        <w:pStyle w:val="Normal"/>
        <w:rPr>
          <w:rFonts w:ascii="Microsoft JhengHei" w:hAnsi="Microsoft JhengHei" w:eastAsia="Microsoft JhengHei" w:cs="Microsoft JhengHei"/>
        </w:rPr>
      </w:pPr>
    </w:p>
    <w:p w:rsidR="0B3B89B6" w:rsidP="618EB152" w:rsidRDefault="0B3B89B6" w14:paraId="62FA2DA1" w14:textId="2747E664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0B3B89B6" w:rsidP="618EB152" w:rsidRDefault="0B3B89B6" w14:paraId="25E83F3F" w14:textId="5A75B5F6">
      <w:pPr>
        <w:pStyle w:val="Normal"/>
        <w:rPr>
          <w:rFonts w:ascii="Microsoft JhengHei" w:hAnsi="Microsoft JhengHei" w:eastAsia="Microsoft JhengHei" w:cs="Microsoft JhengHei"/>
        </w:rPr>
      </w:pPr>
    </w:p>
    <w:p w:rsidR="618EB152" w:rsidP="618EB152" w:rsidRDefault="618EB152" w14:paraId="482F97F5" w14:textId="534D77B1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618EB152" w:rsidP="618EB152" w:rsidRDefault="618EB152" w14:paraId="7CB57DE7" w14:textId="23C8757B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618EB152" w:rsidRDefault="618EB152" w14:paraId="4D407A75" w14:textId="0D38A5A5">
      <w:r>
        <w:br w:type="page"/>
      </w:r>
    </w:p>
    <w:p w:rsidR="46DFDF1C" w:rsidP="618EB152" w:rsidRDefault="46DFDF1C" w14:paraId="2E2CAB0C" w14:textId="4538E6C9">
      <w:pPr>
        <w:pStyle w:val="Normal"/>
        <w:rPr>
          <w:rFonts w:ascii="Microsoft JhengHei" w:hAnsi="Microsoft JhengHei" w:eastAsia="Microsoft JhengHei" w:cs="Microsoft JhengHei"/>
          <w:b w:val="1"/>
          <w:bCs w:val="1"/>
          <w:noProof w:val="0"/>
          <w:color w:val="156082" w:themeColor="accent1" w:themeTint="FF" w:themeShade="FF"/>
          <w:sz w:val="40"/>
          <w:szCs w:val="40"/>
          <w:lang w:eastAsia="zh-TW"/>
        </w:rPr>
      </w:pPr>
      <w:r w:rsidRPr="618EB152" w:rsidR="46DFDF1C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0"/>
          <w:szCs w:val="40"/>
          <w:lang w:eastAsia="zh-TW"/>
        </w:rPr>
        <w:t>貳、史前文化的見證</w:t>
      </w:r>
    </w:p>
    <w:p w:rsidR="618EB152" w:rsidP="618EB152" w:rsidRDefault="618EB152" w14:paraId="7249745D" w14:textId="359662B4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</w:rPr>
      </w:pPr>
    </w:p>
    <w:p w:rsidR="7CE04D6C" w:rsidP="618EB152" w:rsidRDefault="7CE04D6C" w14:paraId="0CB0E613" w14:textId="5B3D8CE4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</w:rPr>
      </w:pPr>
    </w:p>
    <w:p w:rsidR="7CE04D6C" w:rsidP="618EB152" w:rsidRDefault="7CE04D6C" w14:paraId="0F9D444C" w14:textId="10C84CEF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7CE04D6C" w:rsidP="618EB152" w:rsidRDefault="7CE04D6C" w14:paraId="66A194E4" w14:textId="2E187B2A">
      <w:pPr>
        <w:pStyle w:val="Normal"/>
        <w:rPr>
          <w:rFonts w:ascii="Microsoft JhengHei" w:hAnsi="Microsoft JhengHei" w:eastAsia="Microsoft JhengHei" w:cs="Microsoft JhengHei"/>
          <w:lang w:val="en-US"/>
        </w:rPr>
      </w:pPr>
    </w:p>
    <w:p w:rsidR="7CE04D6C" w:rsidP="618EB152" w:rsidRDefault="7CE04D6C" w14:paraId="10631856" w14:textId="4B93BCF7">
      <w:pPr>
        <w:pStyle w:val="Normal"/>
        <w:rPr>
          <w:rFonts w:ascii="Microsoft JhengHei" w:hAnsi="Microsoft JhengHei" w:eastAsia="Microsoft JhengHei" w:cs="Microsoft JhengHei"/>
        </w:rPr>
      </w:pPr>
    </w:p>
    <w:p w:rsidR="7CE04D6C" w:rsidP="618EB152" w:rsidRDefault="7CE04D6C" w14:paraId="72D5FE28" w14:textId="244745F2">
      <w:pPr>
        <w:pStyle w:val="Normal"/>
        <w:rPr>
          <w:rFonts w:ascii="Microsoft JhengHei" w:hAnsi="Microsoft JhengHei" w:eastAsia="Microsoft JhengHei" w:cs="Microsoft JhengHei"/>
        </w:rPr>
      </w:pPr>
    </w:p>
    <w:p w:rsidR="7CE04D6C" w:rsidP="618EB152" w:rsidRDefault="7CE04D6C" w14:paraId="4F164B8B" w14:textId="3BB7FC51">
      <w:pPr>
        <w:pStyle w:val="Normal"/>
        <w:rPr>
          <w:rFonts w:ascii="Microsoft JhengHei" w:hAnsi="Microsoft JhengHei" w:eastAsia="Microsoft JhengHei" w:cs="Microsoft JhengHei"/>
        </w:rPr>
      </w:pPr>
    </w:p>
    <w:p w:rsidR="7CE04D6C" w:rsidP="618EB152" w:rsidRDefault="7CE04D6C" w14:paraId="4A9F5F0D" w14:textId="1C2652A2">
      <w:pPr>
        <w:pStyle w:val="Normal"/>
        <w:rPr>
          <w:rFonts w:ascii="Microsoft JhengHei" w:hAnsi="Microsoft JhengHei" w:eastAsia="Microsoft JhengHei" w:cs="Microsoft JhengHei"/>
        </w:rPr>
      </w:pPr>
    </w:p>
    <w:p w:rsidR="7CE04D6C" w:rsidP="618EB152" w:rsidRDefault="7CE04D6C" w14:paraId="12367C88" w14:textId="3E5238FB">
      <w:pPr>
        <w:pStyle w:val="Normal"/>
        <w:rPr>
          <w:rFonts w:ascii="Microsoft JhengHei" w:hAnsi="Microsoft JhengHei" w:eastAsia="Microsoft JhengHei" w:cs="Microsoft JhengHei"/>
        </w:rPr>
      </w:pPr>
    </w:p>
    <w:p w:rsidR="618EB152" w:rsidP="618EB152" w:rsidRDefault="618EB152" w14:paraId="3D39070F" w14:textId="70D07DB4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</w:rPr>
      </w:pPr>
    </w:p>
    <w:p w:rsidR="55DC29AE" w:rsidP="618EB152" w:rsidRDefault="55DC29AE" w14:paraId="61419783" w14:textId="412B3B22">
      <w:pPr>
        <w:pStyle w:val="Normal"/>
        <w:rPr>
          <w:rFonts w:ascii="Microsoft JhengHei" w:hAnsi="Microsoft JhengHei" w:eastAsia="Microsoft JhengHei" w:cs="Microsoft JhengHei"/>
          <w:b w:val="1"/>
          <w:bCs w:val="1"/>
          <w:color w:val="2E9CB8" w:themeColor="accent2" w:themeTint="FF" w:themeShade="FF"/>
          <w:sz w:val="32"/>
          <w:szCs w:val="32"/>
        </w:rPr>
      </w:pPr>
    </w:p>
    <w:p w:rsidR="55DC29AE" w:rsidP="618EB152" w:rsidRDefault="55DC29AE" w14:paraId="026EA3B5" w14:textId="7574ADFA">
      <w:pPr>
        <w:pStyle w:val="Normal"/>
        <w:rPr>
          <w:rFonts w:ascii="Microsoft JhengHei" w:hAnsi="Microsoft JhengHei" w:eastAsia="Microsoft JhengHei" w:cs="Microsoft JhengHei"/>
        </w:rPr>
      </w:pPr>
      <w:r w:rsidRPr="618EB152" w:rsidR="55DC29AE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考古發掘絕非單純的掘土尋寶，而是一場跨越時空的對話，是一次慎重而嚴謹的「歷史重建」工程。在文字尚未出現的史前東台灣，土地便是唯一的史書，而每一層地層都是一頁泛黃的篇章。考古學家透過科學性的挖掘，細膩地剝開時間的塵封，其核心意義在於將碎片化的遺存轉化為具體的歷史敘事。當我們從泥土中清理出一枚破碎的陶片、一把磨製精良的石錛，或是長眠於石棺中的先民遺骸，我們所看見的不僅是物件本身，更是數千年前生活溫度的殘留。</w:t>
      </w:r>
    </w:p>
    <w:p w:rsidR="55DC29AE" w:rsidP="618EB152" w:rsidRDefault="55DC29AE" w14:paraId="7925DBA1" w14:textId="64176E50">
      <w:pPr>
        <w:spacing w:before="240" w:beforeAutospacing="off" w:after="240" w:afterAutospacing="off"/>
      </w:pPr>
      <w:r w:rsidRPr="618EB152" w:rsidR="55DC29AE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透過考古發掘，我們得以精確地重建古人的日常生活。從卑南遺址出土的精緻玉器中，我們看見了史前人類高超的工藝技術與美學追求，甚至能推敲出當時跨海、跨區域的龐大貿易網絡，這證明了東台灣在數千年前絕非孤立的荒島，而是南島語族文化圈中極其活躍的中心節點。這種發現填補了文字記載之前的巨大空白，讓「史前」不再只是虛無縹緲的推測，而是擁有數據支持、有物理證據支撐的真實存在。</w:t>
      </w:r>
    </w:p>
    <w:p w:rsidR="55DC29AE" w:rsidP="618EB152" w:rsidRDefault="55DC29AE" w14:paraId="6C49916C" w14:textId="7E54ED9D">
      <w:pPr>
        <w:spacing w:before="240" w:beforeAutospacing="off" w:after="240" w:afterAutospacing="off"/>
      </w:pPr>
      <w:r w:rsidRPr="618EB152" w:rsidR="55DC29AE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更重要的是，考古發掘賦予了現代族群強大的認同感與文化主體性。它讓當代的人們明白，自己腳下的這片土地擁有著極其深厚的生命厚度。對於東台灣的原住民族而言，這些出土的遺址與器物是祖先遷徙與生存的鐵證，它們賦予了部落傳統更為神聖且古老的正當性。因此，考古發掘的意義最終超越了學術研究，它成為了一座橋樑，連結了過去、現在與未來，讓我們在快速變遷的當代社會中，依然能透過土地的深處，找到關於「我是誰」以及「我們從何而來」的終極答案。</w:t>
      </w:r>
    </w:p>
    <w:p w:rsidR="618EB152" w:rsidRDefault="618EB152" w14:paraId="249E10FC" w14:textId="01025E0E">
      <w:r>
        <w:br w:type="page"/>
      </w:r>
    </w:p>
    <w:p w:rsidR="18875A8B" w:rsidP="618EB152" w:rsidRDefault="18875A8B" w14:paraId="21CA4A29" w14:textId="02ED501E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156082" w:themeColor="accent1" w:themeTint="FF" w:themeShade="FF"/>
          <w:sz w:val="40"/>
          <w:szCs w:val="40"/>
          <w:lang w:eastAsia="zh-TW"/>
        </w:rPr>
      </w:pPr>
      <w:r w:rsidRPr="618EB152" w:rsidR="18875A8B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0"/>
          <w:szCs w:val="40"/>
          <w:lang w:eastAsia="zh-TW"/>
        </w:rPr>
        <w:t>參、原住民族無形文化資產</w:t>
      </w:r>
    </w:p>
    <w:p w:rsidR="618EB152" w:rsidP="618EB152" w:rsidRDefault="618EB152" w14:paraId="5EF41670" w14:textId="47A0D58B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208EFD28" w:rsidP="618EB152" w:rsidRDefault="208EFD28" w14:paraId="4B1A562E" w14:textId="11D152B2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  <w:r w:rsidRPr="618EB152" w:rsidR="208EFD28"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  <w:t>歲時祭儀的傳承</w:t>
      </w:r>
    </w:p>
    <w:p w:rsidR="208EFD28" w:rsidP="618EB152" w:rsidRDefault="208EFD28" w14:paraId="4DD57A01" w14:textId="4FB063D1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阿美族：在圓圈與階級中律動的生命力——Ilisin</w:t>
      </w:r>
    </w:p>
    <w:p w:rsidR="208EFD28" w:rsidP="618EB152" w:rsidRDefault="208EFD28" w14:paraId="4D0482A3" w14:textId="2A91E6F9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對阿美族人而言，夏季不只是酷暑的象徵，更是「Ilisin」（豐年祭）召喚遊子歸鄉的時刻。這項被列為國家級無形文化資產的儀式，遠遠超越了字面上「慶祝豐收」的意義，它是一場關於社會組織、年齡階級（Kapot）與祖靈溝通的盛大集體實踐。阿美族的歲時祭儀體現了一種高度秩序化的美學，這種秩序建立在嚴謹的年齡階級制度之上。從青少年時期的勞務磨練，到成年後的守護部落，每一個階級都有其對應的責任與權利。在祭儀期間，這種階級性被轉化為歌舞的排列與力度，長者領唱、中壯年領舞、青年奔走，透過層層疊疊的歌聲與整齊劃一的步伐，部落的歷史與倫理在無形中完成了一次又一次的灌輸與傳承。</w:t>
      </w:r>
    </w:p>
    <w:p w:rsidR="208EFD28" w:rsidP="618EB152" w:rsidRDefault="208EFD28" w14:paraId="0FDB71EF" w14:textId="1A27169B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Ilisin 最具代表性的視覺語彙便是「圓圈」。當族人手牽著手，在部落廣場上踏出沉穩的步伐時，那個圓圈象徵著部落的凝聚力與宇宙的循環。歌謠（Pakalongay）的傳唱並非為了表演，而是一種與神靈（Malataw）的對話。每一首古調的旋律與詞句，都承載著先民對土地的觀察與對生命的體悟。然而，在現代化的衝擊下，阿美族的祭儀也面臨著轉型壓力。隨著部落青年往都市遷移，祭儀的期程往往縮減至週末，或者為了觀光需求而產生了展演化的傾向。</w:t>
      </w:r>
    </w:p>
    <w:p w:rsidR="208EFD28" w:rsidP="618EB152" w:rsidRDefault="208EFD28" w14:paraId="30542588" w14:textId="77189882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但令人欣慰的是，當代阿美族青年正發起一場「回家的運動」。他們不再只是被動地參與祭典，而是主動記錄老人的口述歷史，重新學習消失的祭祀語言，並透過創新的方式（如數位記錄或部落小旅行）向大眾傳達 Ilisin 的神聖性。這種傳承不再僅止於形式上的歌舞，而是深根於對「階級責任」的認同感。只要那個圓圈還在旋轉，只要那雙手依然緊握，阿美族的靈魂就能在太平洋的海風中，持續跳出屬於這個時代的節奏。</w:t>
      </w:r>
    </w:p>
    <w:p w:rsidR="618EB152" w:rsidP="618EB152" w:rsidRDefault="618EB152" w14:paraId="2888EF0A" w14:textId="46B82CF3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</w:p>
    <w:p w:rsidR="208EFD28" w:rsidP="618EB152" w:rsidRDefault="208EFD28" w14:paraId="29249E67" w14:textId="4DB8F21A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布農族：向山靈與小米俯首的虔誠之聲——Malahtangia 與 Pasibutbut</w:t>
      </w:r>
    </w:p>
    <w:p w:rsidR="208EFD28" w:rsidP="618EB152" w:rsidRDefault="208EFD28" w14:paraId="485AD0C7" w14:textId="0CEB46E9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布農族的歲時祭儀，是一部寫在深山與小米田裡的生命史。作為典型的山岳民族，布農族的文化資產深刻地反映了人與自然、人與超自然神靈（Dehanin）之間的契約關係。其最具代表性的兩大核心，莫過於象徵傳承的「Malahtangia」（射耳祭）以及名聞遐邇的「Pasibutbut」（祈禱小米豐收歌，俗稱八部合音）。</w:t>
      </w:r>
    </w:p>
    <w:p w:rsidR="208EFD28" w:rsidP="618EB152" w:rsidRDefault="208EFD28" w14:paraId="2286D381" w14:textId="15F084B8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Malahtangia 是布農族男子生命史中最重要的成年禮。在祭儀中，長輩會帶著年幼的男孩，用弓箭射擊懸掛在木架上的鹿耳或豬耳。這項儀式不僅是狩獵技巧的傳授，更深層的意義在於**「勇氣的傳遞」與「對生命的敬畏」**。透過射耳，男孩學習如何成為一個守護家園的男人，並在長者的叮嚀聲中，接過部落的社會責任。這是一種跨世代的對話，確保了部落的生存技術與精神價值在山林間不滅。</w:t>
      </w:r>
    </w:p>
    <w:p w:rsidR="208EFD28" w:rsidP="618EB152" w:rsidRDefault="208EFD28" w14:paraId="0113912B" w14:textId="2D6F034B">
      <w:pPr>
        <w:pStyle w:val="Normal"/>
        <w:spacing w:before="240" w:beforeAutospacing="off" w:after="240" w:afterAutospacing="off"/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而 Pasibutbut 則是布農族無形文化資產中的瑰寶。這首不分部、沒有樂譜、完全仰賴歌手彼此默契與聽覺協調的歌曲，其背後有著神聖的宗教動機。布農族人相信，歌聲越高、共鳴越和諧，小米神就越能聽見族人的祈求，進而賜予豐收。在歌唱的過程中，歌者們圍成圓圈，緩緩逆時針移動，這種「螺旋式」的合音結構，在音樂人類學上是極為獨特的現象。它體現了布農族社會中「追求和諧、摒棄自我中心」的處世哲學——沒有人是主角，每個人都是支撐整體和諧的一份子。</w:t>
      </w:r>
    </w:p>
    <w:p w:rsidR="208EFD28" w:rsidP="618EB152" w:rsidRDefault="208EFD28" w14:paraId="759FF801" w14:textId="2FAAF321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  <w:r w:rsidRPr="618EB152" w:rsidR="208EFD28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在當代，布農族的祭儀傳承面臨著信仰改變（如基督教的傳入）與農業轉型的挑戰。許多祭儀細節因不再種植小米而式微。然而，透過部落學校與文化協會的努力，布農族人開始將祭儀文化帶進教室與文化園區。他們明白，無論生活方式如何改變，那份對於大自然的謙卑以及對集體和諧的追求，始終是布農族在現代社會中屹立不搖的文化根基。那迴盪在山谷間的共鳴聲，正是布農族人對土地最深情的告白，也是東台灣最動人的文化音符。</w:t>
      </w:r>
    </w:p>
    <w:p w:rsidR="618EB152" w:rsidP="618EB152" w:rsidRDefault="618EB152" w14:paraId="6548E81C" w14:textId="75E9BC9A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</w:p>
    <w:p w:rsidR="73F4673D" w:rsidP="618EB152" w:rsidRDefault="73F4673D" w14:paraId="35113A3F" w14:textId="5639DAFA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</w:pPr>
      <w:r w:rsidRPr="618EB152" w:rsidR="73F4673D">
        <w:rPr>
          <w:rFonts w:ascii="Microsoft JhengHei" w:hAnsi="Microsoft JhengHei" w:eastAsia="Microsoft JhengHei" w:cs="Microsoft JhengHei"/>
          <w:b w:val="1"/>
          <w:bCs w:val="1"/>
          <w:noProof w:val="0"/>
          <w:color w:val="2E9CB8" w:themeColor="accent2" w:themeTint="FF" w:themeShade="FF"/>
          <w:sz w:val="32"/>
          <w:szCs w:val="32"/>
          <w:lang w:eastAsia="zh-TW"/>
        </w:rPr>
        <w:t>傳統工藝和技術</w:t>
      </w:r>
    </w:p>
    <w:p w:rsidR="73F4673D" w:rsidP="618EB152" w:rsidRDefault="73F4673D" w14:paraId="3FD6784E" w14:textId="2C42CC49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在東台灣這片山海交接的土地上，原住民族的傳統工藝從未僅僅是為了「裝飾」或「生產」，它們是族人與自然對話的語彙，是社會階級的標幟，更是族群記憶的載體。當我們觀察東台灣的工藝技藝時，會發現這是一場關於「自然資材轉換」的藝術，從山林的纖維到大地的土石，每一件工藝品都反映了特定族群對生態環境的深刻理解。</w:t>
      </w:r>
    </w:p>
    <w:p w:rsidR="73F4673D" w:rsidP="618EB152" w:rsidRDefault="73F4673D" w14:paraId="2B48D3BC" w14:textId="532012B1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纖維的史詩：從香蕉絲到苧麻的編織技藝</w:t>
      </w:r>
    </w:p>
    <w:p w:rsidR="73F4673D" w:rsidP="618EB152" w:rsidRDefault="73F4673D" w14:paraId="3C3637DD" w14:textId="50E21FFB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在東台灣的纖維工藝中，最具傳奇色彩的莫過於花蓮新社部落噶瑪蘭族的「香蕉絲織布」。這項技藝曾瀕臨失傳，如今卻成為東部最具代表性的無形文化資產。香蕉絲的製作極其繁複，族人需在特定的季節砍下北蕉的假莖，一層層剝開，僅取其中間的纖維，經過刮瓤、晾曬、接線、整經到最後的織布。這種半透明、帶著植物清香的織物，質地堅韌且透氣，它不僅是過去的生活必需品，更象徵著噶瑪蘭族人在流離遷徙中守護身分認同的決心。</w:t>
      </w:r>
    </w:p>
    <w:p w:rsidR="73F4673D" w:rsidP="618EB152" w:rsidRDefault="73F4673D" w14:paraId="28456916" w14:textId="079AF50E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與此同時，泰雅族、太魯閣族與布農族的「苧麻織布」則展現了另一種剛柔並濟的美學。從種植苧麻、剝皮抽絲到天然染（如薯榔的紅棕色），每一道工序都考驗著織女的耐性。對這些族群而言，織布技藝不僅是女性社會地位的象徵，其織紋中的幾何圖形——如象徵祖靈之眼的菱形紋——更是一種跨越時空的視覺溝通，傳達了對祖靈（Utux）的敬畏與守護。</w:t>
      </w:r>
    </w:p>
    <w:p w:rsidR="73F4673D" w:rsidP="618EB152" w:rsidRDefault="73F4673D" w14:paraId="088BD992" w14:textId="5D9D5C44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海洋與山林的工藝：造船與石造建築</w:t>
      </w:r>
    </w:p>
    <w:p w:rsidR="73F4673D" w:rsidP="618EB152" w:rsidRDefault="73F4673D" w14:paraId="34482CDE" w14:textId="67DCDE82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轉向海洋，蘭嶼達悟族（雅美族）的「拼板舟」造船技藝則是海洋南島文化的巔峰。一艘大船（Chinurikuran）並非由單一木材製成，而是選用多達二十一種不同的樹種，根據船體不同位置的功能（如船底需耐磨、船舷需彈性）精準選材。最令人驚嘆的是，族人完全不使用鋼釘，僅憑木釘與植物纖維接合，展現出極高的流體力學與植物學知識。船身上雕刻的「船眼」與人型紋，則賦予了船隻生命，使其成為航行在黑色洋流中的守護者。</w:t>
      </w:r>
    </w:p>
    <w:p w:rsidR="73F4673D" w:rsidP="618EB152" w:rsidRDefault="73F4673D" w14:paraId="2B6BC7AD" w14:textId="4401C8E2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而在海岸山脈的另一側，排灣族與魯凱族的「石板屋建築技術」與「木雕工藝」則展現了對大地的解構力。東部的排灣族人善於利用當地的黑灰板岩與頁岩，透過精確的疊砌與力學平衡，構築出冬暖夏涼、與自然共生的家屋。建築上的木雕飾板，刻劃著百步蛇、陶甕與祖靈像，這不僅是藝術表現，更是家族地位與社會秩序的具體呈現。每一刀刻痕，都紀錄著首領家族的興衰與神話的脈絡。</w:t>
      </w:r>
    </w:p>
    <w:p w:rsidR="73F4673D" w:rsidP="618EB152" w:rsidRDefault="73F4673D" w14:paraId="44E14850" w14:textId="24329342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靈性與色彩的交匯：陶藝與琉璃珠</w:t>
      </w:r>
    </w:p>
    <w:p w:rsidR="73F4673D" w:rsidP="618EB152" w:rsidRDefault="73F4673D" w14:paraId="5FDE9674" w14:textId="33D9C229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在工藝的微觀世界裡，陶藝與琉璃珠承載了族群的靈魂。阿美族的傳統陶藝多由女性負責，她們在溪邊取土，以露天燒製的方式製作成日常生活的汲水壺或祭儀用的容器。這種對土地的親觸，體現了族群對大地之母的依賴。而排灣族的「古琉璃珠」則被視為具備靈性的珍寶，每一顆珠子都有其專屬的名稱與神話意義——如象徵勇氣的「勇士之珠」、代表地位的「孔雀之珠」。這些五彩繽紛的珠子不僅是飾品，更是交換、婚盟與社會關係的樞紐，承載了數百年的階級演變史。</w:t>
      </w:r>
    </w:p>
    <w:p w:rsidR="73F4673D" w:rsidP="618EB152" w:rsidRDefault="73F4673D" w14:paraId="5E0B1DE4" w14:textId="3C3BA675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當代的挑戰：技藝的活化與新生</w:t>
      </w:r>
    </w:p>
    <w:p w:rsidR="73F4673D" w:rsidP="618EB152" w:rsidRDefault="73F4673D" w14:paraId="36251D66" w14:textId="39FB1AA4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進入二十一世紀，東台灣的原住民傳統工藝正經歷一場從「生存必需」到「文化創意」的質變。在數位浪潮與工業化量產的衝擊下，純手工的傳統技藝面臨著時間成本過高的挑戰。然而，我們也看見了新一代工藝家的覺醒。他們不再只是復刻古物，而是將傳統的技藝（如香蕉絲織布、琉璃珠燒製）轉化為現代的設計語彙，進入藝廊、時尚秀場，甚至成為國際精品的一環。</w:t>
      </w:r>
    </w:p>
    <w:p w:rsidR="73F4673D" w:rsidP="618EB152" w:rsidRDefault="73F4673D" w14:paraId="25B83238" w14:textId="36D98BCB">
      <w:pPr>
        <w:pStyle w:val="Normal"/>
        <w:spacing w:before="240" w:beforeAutospacing="off" w:after="240" w:afterAutospacing="off"/>
      </w:pPr>
      <w:r w:rsidRPr="618EB152" w:rsidR="73F4673D"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  <w:t>這種傳承的意義，已從「技術的復刻」昇華為「精神的續命」。當代工藝家透過工作坊、部落教室，讓年輕一代重新拿起織梭、握起雕刀，這不僅是在修復一件古物，更是在修補斷裂的文化臍帶。</w:t>
      </w:r>
    </w:p>
    <w:p w:rsidR="618EB152" w:rsidP="618EB152" w:rsidRDefault="618EB152" w14:paraId="19AF4520" w14:textId="1E6D7613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</w:p>
    <w:p w:rsidR="618EB152" w:rsidRDefault="618EB152" w14:paraId="6E2BEE04" w14:textId="1D87B1DB">
      <w:r>
        <w:br w:type="page"/>
      </w:r>
    </w:p>
    <w:p w:rsidR="618EB152" w:rsidP="618EB152" w:rsidRDefault="618EB152" w14:paraId="19FB77A3" w14:textId="06474DAD">
      <w:pPr>
        <w:pStyle w:val="Normal"/>
        <w:spacing w:before="240" w:beforeAutospacing="off" w:after="240" w:afterAutospacing="off"/>
        <w:rPr>
          <w:rFonts w:ascii="Microsoft JhengHei" w:hAnsi="Microsoft JhengHei" w:eastAsia="Microsoft JhengHei" w:cs="Microsoft JhengHei"/>
          <w:noProof w:val="0"/>
          <w:sz w:val="24"/>
          <w:szCs w:val="24"/>
          <w:lang w:eastAsia="zh-TW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  <w:titlePg w:val="1"/>
      <w:headerReference w:type="default" r:id="Rf7be77e0dd084993"/>
      <w:headerReference w:type="first" r:id="Ra0ccf1f7af2d4311"/>
      <w:footerReference w:type="default" r:id="Rf3947b889cc947e0"/>
      <w:footerReference w:type="first" r:id="R57b2076ac64e45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845A72" w:rsidTr="2A845A72" w14:paraId="2AA3B9F4">
      <w:trPr>
        <w:trHeight w:val="300"/>
      </w:trPr>
      <w:tc>
        <w:tcPr>
          <w:tcW w:w="3005" w:type="dxa"/>
          <w:tcMar/>
        </w:tcPr>
        <w:p w:rsidR="2A845A72" w:rsidP="2A845A72" w:rsidRDefault="2A845A72" w14:paraId="7634C8E7" w14:textId="23BED43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A845A72" w:rsidP="2A845A72" w:rsidRDefault="2A845A72" w14:paraId="4805774D" w14:textId="5DB72F1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845A72" w:rsidP="2A845A72" w:rsidRDefault="2A845A72" w14:paraId="36747465" w14:textId="346E9C9B">
          <w:pPr>
            <w:pStyle w:val="Header"/>
            <w:bidi w:val="0"/>
            <w:ind w:right="-115"/>
            <w:jc w:val="right"/>
          </w:pPr>
        </w:p>
      </w:tc>
    </w:tr>
  </w:tbl>
  <w:p w:rsidR="2A845A72" w:rsidP="2A845A72" w:rsidRDefault="2A845A72" w14:paraId="137209D8" w14:textId="4D55BAE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845A72" w:rsidTr="2A845A72" w14:paraId="049A8CA7">
      <w:trPr>
        <w:trHeight w:val="300"/>
      </w:trPr>
      <w:tc>
        <w:tcPr>
          <w:tcW w:w="3005" w:type="dxa"/>
          <w:tcMar/>
        </w:tcPr>
        <w:p w:rsidR="2A845A72" w:rsidP="2A845A72" w:rsidRDefault="2A845A72" w14:paraId="2E86A423" w14:textId="74B7CE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A845A72" w:rsidP="2A845A72" w:rsidRDefault="2A845A72" w14:paraId="69CE2307" w14:textId="6DCC134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845A72" w:rsidP="2A845A72" w:rsidRDefault="2A845A72" w14:paraId="5167C921" w14:textId="1172A066">
          <w:pPr>
            <w:pStyle w:val="Header"/>
            <w:bidi w:val="0"/>
            <w:ind w:right="-115"/>
            <w:jc w:val="right"/>
          </w:pPr>
        </w:p>
      </w:tc>
    </w:tr>
  </w:tbl>
  <w:p w:rsidR="2A845A72" w:rsidP="2A845A72" w:rsidRDefault="2A845A72" w14:paraId="12B4D1D6" w14:textId="0B3111D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010" w:type="dxa"/>
      <w:tblLook w:val="06A0" w:firstRow="1" w:lastRow="0" w:firstColumn="1" w:lastColumn="0" w:noHBand="1" w:noVBand="1"/>
    </w:tblPr>
    <w:tblGrid>
      <w:gridCol w:w="3005"/>
      <w:gridCol w:w="3005"/>
    </w:tblGrid>
    <w:tr w:rsidR="2A845A72" w:rsidTr="618EB152" w14:paraId="7E4AB93E">
      <w:trPr>
        <w:trHeight w:val="300"/>
      </w:trPr>
      <w:tc>
        <w:tcPr>
          <w:tcW w:w="3005" w:type="dxa"/>
          <w:tcMar/>
        </w:tcPr>
        <w:p w:rsidR="2A845A72" w:rsidP="2A845A72" w:rsidRDefault="2A845A72" w14:paraId="516A0B70" w14:textId="11346D1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845A72" w:rsidP="2A845A72" w:rsidRDefault="2A845A72" w14:paraId="3F0B7651" w14:textId="626EBAAE">
          <w:pPr>
            <w:pStyle w:val="Header"/>
            <w:bidi w:val="0"/>
            <w:ind w:right="-115"/>
            <w:jc w:val="right"/>
          </w:pPr>
        </w:p>
      </w:tc>
    </w:tr>
  </w:tbl>
  <w:p w:rsidR="2A845A72" w:rsidP="2A845A72" w:rsidRDefault="2A845A72" w14:paraId="5065A80E" w14:textId="7B092ED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845A72" w:rsidTr="2A845A72" w14:paraId="24857682">
      <w:trPr>
        <w:trHeight w:val="300"/>
      </w:trPr>
      <w:tc>
        <w:tcPr>
          <w:tcW w:w="3005" w:type="dxa"/>
          <w:tcMar/>
        </w:tcPr>
        <w:p w:rsidR="2A845A72" w:rsidP="2A845A72" w:rsidRDefault="2A845A72" w14:paraId="7C4E1081" w14:textId="1554917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A845A72" w:rsidP="2A845A72" w:rsidRDefault="2A845A72" w14:paraId="67BFFEDF" w14:textId="62F9535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A845A72" w:rsidP="2A845A72" w:rsidRDefault="2A845A72" w14:paraId="4D6A724B" w14:textId="096A2584">
          <w:pPr>
            <w:pStyle w:val="Header"/>
            <w:bidi w:val="0"/>
            <w:ind w:right="-115"/>
            <w:jc w:val="right"/>
          </w:pPr>
        </w:p>
      </w:tc>
    </w:tr>
  </w:tbl>
  <w:p w:rsidR="2A845A72" w:rsidP="2A845A72" w:rsidRDefault="2A845A72" w14:paraId="4A0E8C29" w14:textId="34A68BA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ufKLEVx9nKRVX" int2:id="OZtoGSPe">
      <int2:state int2:type="spell" int2:value="Rejected"/>
    </int2:textHash>
    <int2:textHash int2:hashCode="dG3KCnBAcNM6C+" int2:id="azdJetj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E3CF6E"/>
    <w:rsid w:val="003998F9"/>
    <w:rsid w:val="006AD4E0"/>
    <w:rsid w:val="094E15C8"/>
    <w:rsid w:val="0B3B89B6"/>
    <w:rsid w:val="133229BB"/>
    <w:rsid w:val="17DCFC04"/>
    <w:rsid w:val="18875A8B"/>
    <w:rsid w:val="1B9F1467"/>
    <w:rsid w:val="1C45B0EA"/>
    <w:rsid w:val="1DE69862"/>
    <w:rsid w:val="1E0D0DA3"/>
    <w:rsid w:val="2027A276"/>
    <w:rsid w:val="208EFD28"/>
    <w:rsid w:val="2296A1C3"/>
    <w:rsid w:val="254CABAE"/>
    <w:rsid w:val="2A0FA24C"/>
    <w:rsid w:val="2A845A72"/>
    <w:rsid w:val="3786DFBC"/>
    <w:rsid w:val="37AF2635"/>
    <w:rsid w:val="37B2B2F6"/>
    <w:rsid w:val="3A6D5230"/>
    <w:rsid w:val="3B68CC4A"/>
    <w:rsid w:val="3E40E760"/>
    <w:rsid w:val="412BFB9A"/>
    <w:rsid w:val="43D88C9C"/>
    <w:rsid w:val="46DFDF1C"/>
    <w:rsid w:val="482DB52E"/>
    <w:rsid w:val="486C3967"/>
    <w:rsid w:val="4AF26508"/>
    <w:rsid w:val="4B049D16"/>
    <w:rsid w:val="4C92F737"/>
    <w:rsid w:val="5008AD3D"/>
    <w:rsid w:val="505619E1"/>
    <w:rsid w:val="51D30C8A"/>
    <w:rsid w:val="54A140F7"/>
    <w:rsid w:val="54CF2AD5"/>
    <w:rsid w:val="55DC29AE"/>
    <w:rsid w:val="608F6F8B"/>
    <w:rsid w:val="60E3CF6E"/>
    <w:rsid w:val="618EB152"/>
    <w:rsid w:val="6394E18A"/>
    <w:rsid w:val="65287B11"/>
    <w:rsid w:val="65287B11"/>
    <w:rsid w:val="670CDA27"/>
    <w:rsid w:val="67FE7C87"/>
    <w:rsid w:val="680CD70D"/>
    <w:rsid w:val="680CD70D"/>
    <w:rsid w:val="69777703"/>
    <w:rsid w:val="6CDAA871"/>
    <w:rsid w:val="6DF41F98"/>
    <w:rsid w:val="6F2C1109"/>
    <w:rsid w:val="71EA6271"/>
    <w:rsid w:val="72CFEC3E"/>
    <w:rsid w:val="7385B9F9"/>
    <w:rsid w:val="73D76158"/>
    <w:rsid w:val="73F4673D"/>
    <w:rsid w:val="7CE04D6C"/>
    <w:rsid w:val="7DB4CC39"/>
    <w:rsid w:val="7DFE7C36"/>
    <w:rsid w:val="7F0F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CF6E"/>
  <w15:chartTrackingRefBased/>
  <w15:docId w15:val="{6D4EAB92-E059-42FF-AD4C-664B6B9AFF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A845A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A845A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7be77e0dd084993" /><Relationship Type="http://schemas.openxmlformats.org/officeDocument/2006/relationships/header" Target="header2.xml" Id="Ra0ccf1f7af2d4311" /><Relationship Type="http://schemas.openxmlformats.org/officeDocument/2006/relationships/footer" Target="footer.xml" Id="Rf3947b889cc947e0" /><Relationship Type="http://schemas.openxmlformats.org/officeDocument/2006/relationships/footer" Target="footer2.xml" Id="R57b2076ac64e45cf" /><Relationship Type="http://schemas.microsoft.com/office/2020/10/relationships/intelligence" Target="intelligence2.xml" Id="R6addf80f2cd249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2026-03-16T08:26:39.2577193Z</dcterms:created>
  <dcterms:modified xsi:type="dcterms:W3CDTF">2026-03-23T09:15:25.4691070Z</dcterms:modified>
  <dc:creator>呂佑恩</dc:creator>
  <lastModifiedBy>呂佑恩</lastModifiedBy>
</coreProperties>
</file>