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spreadsheetml.sheet" Extension="xlsx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drawingml.chart+xml" PartName="/word/charts/chart1.xml"/>
  <Override ContentType="application/vnd.openxmlformats-officedocument.drawingml.chart+xml" PartName="/word/charts/chart2.xml"/>
  <Override ContentType="application/vnd.openxmlformats-officedocument.drawingml.chart+xml" PartName="/word/charts/chart3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spacing w:lineRule="auto" w:line="360"/>
        <w:ind/>
        <w:jc w:val="center"/>
      </w:pPr>
      <w:r>
        <w:rPr>
          <w:b w:val="on"/>
          <w:sz w:val="44"/>
          <w:rFonts w:ascii="宋体" w:hAnsi="宋体" w:cs="宋体" w:eastAsia="宋体"/>
        </w:rPr>
        <w:t>测试文档 - 包含三个图表</w:t>
      </w:r>
    </w:p>
    <w:p>
      <w:pPr>
        <w:spacing w:lineRule="auto" w:line="360"/>
        <w:ind w:firstLineChars="200" w:firstLine="480"/>
      </w:pPr>
    </w:p>
    <w:p>
      <w:pPr>
        <w:pStyle w:val="Heading1"/>
      </w:pPr>
      <w:r>
        <w:rPr>
          <w:b w:val="on"/>
          <w:rFonts w:ascii="宋体" w:hAnsi="宋体" w:cs="宋体" w:eastAsia="宋体"/>
          <w:sz w:val="44"/>
        </w:rPr>
        <w:t>1 测试文档 - 包含三个图表</w:t>
      </w:r>
    </w:p>
    <w:p>
      <w:pPr>
        <w:pStyle w:val="Heading2"/>
      </w:pPr>
      <w:r>
        <w:rPr>
          <w:b w:val="on"/>
          <w:rFonts w:ascii="宋体" w:hAnsi="宋体" w:cs="宋体" w:eastAsia="宋体"/>
          <w:sz w:val="40"/>
        </w:rPr>
        <w:t>1.1 第一部分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这是测试文档的第一部分。</w:t>
      </w:r>
    </w:p>
    <w:p>
      <w:pPr>
        <w:pStyle w:val="Heading2"/>
      </w:pPr>
      <w:r>
        <w:rPr>
          <w:b w:val="on"/>
          <w:rFonts w:ascii="宋体" w:hAnsi="宋体" w:cs="宋体" w:eastAsia="宋体"/>
          <w:sz w:val="40"/>
        </w:rPr>
        <w:t>1.2 数据可视化</w:t>
      </w:r>
    </w:p>
    <w:p>
      <w:pPr>
        <w:pStyle w:val="Heading3"/>
      </w:pPr>
      <w:r>
        <w:rPr>
          <w:b w:val="on"/>
          <w:rFonts w:ascii="宋体" w:hAnsi="宋体" w:cs="宋体" w:eastAsia="宋体"/>
          <w:sz w:val="36"/>
        </w:rPr>
        <w:t>1.2.1 用户增长趋势</w:t>
      </w:r>
    </w:p>
    <w:p>
      <w:pPr>
        <w:spacing w:lineRule="auto" w:line="360"/>
        <w:ind w:firstLineChars="200" w:firstLine="480"/>
        <w:jc w:val="center"/>
      </w:pPr>
      <w:r>
        <w:rPr>
          <w:b w:val="on"/>
          <w:rFonts w:ascii="宋体" w:hAnsi="宋体" w:cs="宋体" w:eastAsia="宋体"/>
        </w:rPr>
        <w:t>图表 1：</w:t>
      </w:r>
    </w:p>
    <w:p>
      <w:pPr>
        <w:jc w:val="center"/>
      </w:pPr>
    </w:p>
    <w:p>
      <w:r>
        <w:drawing>
          <wp:inline distT="0" distR="0" distB="0" distL="0">
            <wp:extent cx="5400000" cy="2880000"/>
            <wp:docPr id="0" name="chart 0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inline>
        </w:drawing>
      </w:r>
    </w:p>
    <w:p>
      <w:pPr>
        <w:pStyle w:val="Heading3"/>
      </w:pPr>
      <w:r>
        <w:rPr>
          <w:b w:val="on"/>
          <w:rFonts w:ascii="宋体" w:hAnsi="宋体" w:cs="宋体" w:eastAsia="宋体"/>
          <w:sz w:val="36"/>
        </w:rPr>
        <w:t>1.2.2 产品销售对比</w:t>
      </w:r>
    </w:p>
    <w:p>
      <w:pPr>
        <w:spacing w:lineRule="auto" w:line="360"/>
        <w:ind w:firstLineChars="200" w:firstLine="480"/>
        <w:jc w:val="center"/>
      </w:pPr>
      <w:r>
        <w:rPr>
          <w:b w:val="on"/>
          <w:rFonts w:ascii="宋体" w:hAnsi="宋体" w:cs="宋体" w:eastAsia="宋体"/>
        </w:rPr>
        <w:t>图表 2：</w:t>
      </w:r>
    </w:p>
    <w:p>
      <w:pPr>
        <w:jc w:val="center"/>
      </w:pPr>
    </w:p>
    <w:p>
      <w:r>
        <w:drawing>
          <wp:inline distT="0" distR="0" distB="0" distL="0">
            <wp:extent cx="5400000" cy="2880000"/>
            <wp:docPr id="1" name="chart 1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pStyle w:val="Heading3"/>
      </w:pPr>
      <w:r>
        <w:rPr>
          <w:b w:val="on"/>
          <w:rFonts w:ascii="宋体" w:hAnsi="宋体" w:cs="宋体" w:eastAsia="宋体"/>
          <w:sz w:val="36"/>
        </w:rPr>
        <w:t>1.2.3 市场份额分布</w:t>
      </w:r>
    </w:p>
    <w:p>
      <w:pPr>
        <w:spacing w:lineRule="auto" w:line="360"/>
        <w:ind w:firstLineChars="200" w:firstLine="480"/>
        <w:jc w:val="center"/>
      </w:pPr>
      <w:r>
        <w:rPr>
          <w:b w:val="on"/>
          <w:rFonts w:ascii="宋体" w:hAnsi="宋体" w:cs="宋体" w:eastAsia="宋体"/>
        </w:rPr>
        <w:t>图表 3：</w:t>
      </w:r>
    </w:p>
    <w:p>
      <w:pPr>
        <w:jc w:val="center"/>
      </w:pPr>
    </w:p>
    <w:p>
      <w:r>
        <w:drawing>
          <wp:inline distT="0" distR="0" distB="0" distL="0">
            <wp:extent cx="5400000" cy="2880000"/>
            <wp:docPr id="2" name="chart 2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>
        <w:pStyle w:val="Heading2"/>
      </w:pPr>
      <w:r>
        <w:rPr>
          <w:b w:val="on"/>
          <w:rFonts w:ascii="宋体" w:hAnsi="宋体" w:cs="宋体" w:eastAsia="宋体"/>
          <w:sz w:val="40"/>
        </w:rPr>
        <w:t>1.3 数据表格</w:t>
      </w:r>
    </w:p>
    <w:p>
      <w:pPr>
        <w:spacing w:lineRule="auto" w:line="360"/>
        <w:ind w:firstLineChars="200" w:firstLine="480"/>
        <w:jc w:val="center"/>
      </w:pPr>
      <w:r>
        <w:rPr>
          <w:b w:val="on"/>
          <w:rFonts w:ascii="宋体" w:hAnsi="宋体" w:cs="宋体" w:eastAsia="宋体"/>
        </w:rPr>
        <w:t>表格 1：</w:t>
      </w:r>
    </w:p>
    <w:tbl>
      <w:tblPr>
        <w:tblW w:w="5000" w:type="pct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B4C6E7"/>
          </w:tcPr>
          <w:p>
            <w:pPr>
              <w:jc w:val="center"/>
            </w:pPr>
            <w:r>
              <w:t>姓名</w:t>
            </w:r>
          </w:p>
        </w:tc>
        <w:tc>
          <w:tcPr>
            <w:shd w:color="auto" w:val="clear" w:fill="B4C6E7"/>
          </w:tcPr>
          <w:p>
            <w:pPr>
              <w:jc w:val="center"/>
            </w:pPr>
            <w:r>
              <w:t>年龄</w:t>
            </w:r>
          </w:p>
        </w:tc>
        <w:tc>
          <w:tcPr>
            <w:shd w:color="auto" w:val="clear" w:fill="B4C6E7"/>
          </w:tcPr>
          <w:p>
            <w:pPr>
              <w:jc w:val="center"/>
            </w:pPr>
            <w:r>
              <w:t>职位</w:t>
            </w:r>
          </w:p>
        </w:tc>
      </w:tr>
      <w:tr>
        <w:tc>
          <w:p>
            <w:pPr>
              <w:jc w:val="center"/>
            </w:pPr>
            <w:r>
              <w:t>张三</w:t>
            </w:r>
          </w:p>
        </w:tc>
        <w:tc>
          <w:p>
            <w:pPr>
              <w:jc w:val="center"/>
            </w:pPr>
            <w:r>
              <w:t>28</w:t>
            </w:r>
          </w:p>
        </w:tc>
        <w:tc>
          <w:p>
            <w:pPr>
              <w:jc w:val="center"/>
            </w:pPr>
            <w:r>
              <w:t>工程师</w:t>
            </w:r>
          </w:p>
        </w:tc>
      </w:tr>
      <w:tr>
        <w:tc>
          <w:p>
            <w:pPr>
              <w:jc w:val="center"/>
            </w:pPr>
            <w:r>
              <w:t>李四</w:t>
            </w:r>
          </w:p>
        </w:tc>
        <w:tc>
          <w:p>
            <w:pPr>
              <w:jc w:val="center"/>
            </w:pPr>
            <w:r>
              <w:t>32</w:t>
            </w:r>
          </w:p>
        </w:tc>
        <w:tc>
          <w:p>
            <w:pPr>
              <w:jc w:val="center"/>
            </w:pPr>
            <w:r>
              <w:t>经理</w:t>
            </w:r>
          </w:p>
        </w:tc>
      </w:tr>
    </w:tbl>
    <w:p>
      <w:pPr>
        <w:spacing w:lineRule="auto" w:line="360"/>
        <w:ind w:firstLineChars="200" w:firstLine="480"/>
        <w:jc w:val="center"/>
      </w:pPr>
      <w:r>
        <w:t/>
      </w:r>
    </w:p>
    <w:p>
      <w:pPr>
        <w:pStyle w:val="Heading2"/>
      </w:pPr>
      <w:r>
        <w:rPr>
          <w:b w:val="on"/>
          <w:rFonts w:ascii="宋体" w:hAnsi="宋体" w:cs="宋体" w:eastAsia="宋体"/>
          <w:sz w:val="40"/>
        </w:rPr>
        <w:t>1.4 结束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测试完成。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Heading1" w:type="paragraph">
    <w:name w:val="Heading1"/>
    <w:uiPriority w:val="1"/>
    <w:unhideWhenUsed/>
    <w:qFormat/>
    <w:pPr>
      <w:outlineLvl w:val="0"/>
    </w:pPr>
    <w:rPr>
      <w:rFonts w:ascii="宋体" w:eastAsia="宋体" w:hAnsi="宋体"/>
      <w:sz w:val="44"/>
      <w:szCs w:val="44"/>
      <w:color w:val="000000"/>
    </w:rPr>
  </w:style>
  <w:style w:styleId="Heading2" w:type="paragraph">
    <w:name w:val="Heading2"/>
    <w:uiPriority w:val="2"/>
    <w:unhideWhenUsed/>
    <w:qFormat/>
    <w:pPr>
      <w:outlineLvl w:val="1"/>
    </w:pPr>
    <w:rPr>
      <w:rFonts w:ascii="宋体" w:eastAsia="宋体" w:hAnsi="宋体"/>
      <w:sz w:val="40"/>
      <w:szCs w:val="40"/>
      <w:color w:val="000000"/>
    </w:rPr>
  </w:style>
  <w:style w:styleId="Heading3" w:type="paragraph">
    <w:name w:val="Heading3"/>
    <w:uiPriority w:val="3"/>
    <w:unhideWhenUsed/>
    <w:qFormat/>
    <w:pPr>
      <w:outlineLvl w:val="2"/>
    </w:pPr>
    <w:rPr>
      <w:rFonts w:ascii="宋体" w:eastAsia="宋体" w:hAnsi="宋体"/>
      <w:sz w:val="36"/>
      <w:szCs w:val="36"/>
      <w:color w:val="000000"/>
    </w:rPr>
  </w:style>
  <w:style w:styleId="Heading4" w:type="paragraph">
    <w:name w:val="Heading4"/>
    <w:uiPriority w:val="4"/>
    <w:unhideWhenUsed/>
    <w:qFormat/>
    <w:pPr>
      <w:outlineLvl w:val="3"/>
    </w:pPr>
    <w:rPr>
      <w:rFonts w:ascii="宋体" w:eastAsia="宋体" w:hAnsi="宋体"/>
      <w:sz w:val="32"/>
      <w:szCs w:val="32"/>
      <w:color w:val="000000"/>
    </w:rPr>
  </w:style>
  <w:style w:styleId="Heading5" w:type="paragraph">
    <w:name w:val="Heading5"/>
    <w:uiPriority w:val="5"/>
    <w:unhideWhenUsed/>
    <w:qFormat/>
    <w:pPr>
      <w:outlineLvl w:val="4"/>
    </w:pPr>
    <w:rPr>
      <w:rFonts w:ascii="宋体" w:eastAsia="宋体" w:hAnsi="宋体"/>
      <w:sz w:val="28"/>
      <w:szCs w:val="28"/>
      <w:color w:val="000000"/>
    </w:rPr>
  </w:style>
  <w:style w:styleId="Heading6" w:type="paragraph">
    <w:name w:val="Heading6"/>
    <w:uiPriority w:val="6"/>
    <w:unhideWhenUsed/>
    <w:qFormat/>
    <w:pPr>
      <w:outlineLvl w:val="5"/>
    </w:pPr>
    <w:rPr>
      <w:rFonts w:ascii="宋体" w:eastAsia="宋体" w:hAnsi="宋体"/>
      <w:sz w:val="24"/>
      <w:szCs w:val="24"/>
      <w:color w:val="000000"/>
    </w:r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charts/chart1.xml" Type="http://schemas.openxmlformats.org/officeDocument/2006/relationships/chart"/><Relationship Id="rId4" Target="charts/chart2.xml" Type="http://schemas.openxmlformats.org/officeDocument/2006/relationships/chart"/><Relationship Id="rId5" Target="charts/chart3.xml" Type="http://schemas.openxmlformats.org/officeDocument/2006/relationships/chart"/></Relationships>
</file>

<file path=word/charts/_rels/chart1.xml.rels><?xml version="1.0" encoding="UTF-8" standalone="no"?><Relationships xmlns="http://schemas.openxmlformats.org/package/2006/relationships"><Relationship Id="rId1" Target="../embeddings/Microsoft_Excel_Worksheet1.xlsx" Type="http://schemas.openxmlformats.org/officeDocument/2006/relationships/package"/></Relationships>
</file>

<file path=word/charts/_rels/chart2.xml.rels><?xml version="1.0" encoding="UTF-8" standalone="no"?><Relationships xmlns="http://schemas.openxmlformats.org/package/2006/relationships"><Relationship Id="rId1" Target="../embeddings/Microsoft_Excel_Worksheet2.xlsx" Type="http://schemas.openxmlformats.org/officeDocument/2006/relationships/package"/></Relationships>
</file>

<file path=word/charts/_rels/chart3.xml.rels><?xml version="1.0" encoding="UTF-8" standalone="no"?><Relationships xmlns="http://schemas.openxmlformats.org/package/2006/relationships"><Relationship Id="rId1" Target="../embeddings/Microsoft_Excel_Worksheet3.xlsx" Type="http://schemas.openxmlformats.org/officeDocument/2006/relationships/package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title>
      <c:tx>
        <c:rich>
          <a:bodyPr anchor="t" rtlCol="false"/>
          <a:lstStyle/>
          <a:p>
            <a:pPr algn="l">
              <a:defRPr/>
            </a:pPr>
            <a:r>
              <a:rPr lang="zh-Hans-CN"/>
              <a:t>月度用户增长</a:t>
            </a:r>
            <a:endParaRPr lang="en-US" sz="1100"/>
          </a:p>
        </c:rich>
      </c:tx>
      <c:layout/>
    </c:title>
    <c:plotArea>
      <c:lineChart>
        <c:ser>
          <c:idx val="0"/>
          <c:order val="0"/>
          <c:tx>
            <c:v>新增用户</c:v>
          </c:tx>
          <c:dLbls>
            <c:showLegendKey val="false"/>
            <c:showVal val="true"/>
            <c:showCatName val="false"/>
            <c:showSerName val="false"/>
            <c:showPercent val="false"/>
            <c:showBubbleSize val="false"/>
          </c:dLbls>
          <c:cat>
            <c:strLit>
              <c:ptCount val="6"/>
              <c:pt idx="0">
                <c:v>1月</c:v>
              </c:pt>
              <c:pt idx="1">
                <c:v>2月</c:v>
              </c:pt>
              <c:pt idx="2">
                <c:v>3月</c:v>
              </c:pt>
              <c:pt idx="3">
                <c:v>4月</c:v>
              </c:pt>
              <c:pt idx="4">
                <c:v>5月</c:v>
              </c:pt>
              <c:pt idx="5">
                <c:v>6月</c:v>
              </c:pt>
            </c:strLit>
          </c:cat>
          <c:val>
            <c:numLit>
              <c:ptCount val="6"/>
              <c:pt idx="0">
                <c:v>120.0</c:v>
              </c:pt>
              <c:pt idx="1">
                <c:v>132.0</c:v>
              </c:pt>
              <c:pt idx="2">
                <c:v>145.0</c:v>
              </c:pt>
              <c:pt idx="3">
                <c:v>158.0</c:v>
              </c:pt>
              <c:pt idx="4">
                <c:v>178.0</c:v>
              </c:pt>
              <c:pt idx="5">
                <c:v>195.0</c:v>
              </c:pt>
            </c:numLit>
          </c:val>
        </c:ser>
        <c:axId val="0"/>
        <c:axId val="1"/>
      </c:lineChart>
      <c:catAx>
        <c:axId val="0"/>
        <c:scaling>
          <c:orientation val="minMax"/>
        </c:scaling>
        <c:delete val="false"/>
        <c:axPos val="b"/>
        <c:numFmt sourceLinked="true" formatCode=""/>
        <c:majorTickMark val="cross"/>
        <c:minorTickMark val="none"/>
        <c:tickLblPos val="nextTo"/>
        <c:crossAx val="1"/>
        <c:crosses val="autoZero"/>
        <c:auto val="false"/>
      </c:catAx>
      <c:valAx>
        <c:axId val="1"/>
        <c:scaling>
          <c:orientation val="minMax"/>
        </c:scaling>
        <c:delete val="false"/>
        <c:axPos val="l"/>
        <c:title>
          <c:tx>
            <c:rich>
              <a:bodyPr anchor="t" rtlCol="false"/>
              <a:lstStyle/>
              <a:p>
                <a:pPr algn="l">
                  <a:defRPr/>
                </a:pPr>
                <a:r>
                  <a:rPr lang="zh-Hans-CN"/>
                  <a:t>用户数(万)</a:t>
                </a:r>
                <a:endParaRPr lang="en-US" sz="1100"/>
              </a:p>
            </c:rich>
          </c:tx>
          <c:layout/>
          <c:overlay val="false"/>
        </c:title>
        <c:majorTickMark val="cross"/>
        <c:minorTickMark val="none"/>
        <c:tickLblPos val="nextTo"/>
        <c:crossAx val="0"/>
        <c:crosses val="autoZero"/>
        <c:crossBetween val="midCat"/>
      </c:valAx>
    </c:plotArea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title>
      <c:tx>
        <c:rich>
          <a:bodyPr anchor="t" rtlCol="false"/>
          <a:lstStyle/>
          <a:p>
            <a:pPr algn="l">
              <a:defRPr/>
            </a:pPr>
            <a:r>
              <a:rPr lang="zh-Hans-CN"/>
              <a:t>产品销售额对比</a:t>
            </a:r>
            <a:endParaRPr lang="en-US" sz="1100"/>
          </a:p>
        </c:rich>
      </c:tx>
      <c:layout/>
    </c:title>
    <c:plotArea>
      <c:barChart>
        <c:barDir val="bar"/>
        <c:varyColors val="true"/>
        <c:ser>
          <c:idx val="0"/>
          <c:order val="0"/>
          <c:tx>
            <c:v>产品A</c:v>
          </c:tx>
          <c:dLbls>
            <c:showLegendKey val="false"/>
            <c:showVal val="true"/>
            <c:showCatName val="false"/>
            <c:showSerName val="false"/>
            <c:showPercent val="false"/>
            <c:showBubbleSize val="false"/>
          </c:dLbls>
          <c:cat>
            <c:strLit>
              <c:ptCount val="4"/>
              <c:pt idx="0">
                <c:v>Q1</c:v>
              </c:pt>
              <c:pt idx="1">
                <c:v>Q2</c:v>
              </c:pt>
              <c:pt idx="2">
                <c:v>Q3</c:v>
              </c:pt>
              <c:pt idx="3">
                <c:v>Q4</c:v>
              </c:pt>
            </c:strLit>
          </c:cat>
          <c:val>
            <c:numLit>
              <c:ptCount val="4"/>
              <c:pt idx="0">
                <c:v>320.0</c:v>
              </c:pt>
              <c:pt idx="1">
                <c:v>332.0</c:v>
              </c:pt>
              <c:pt idx="2">
                <c:v>301.0</c:v>
              </c:pt>
              <c:pt idx="3">
                <c:v>364.0</c:v>
              </c:pt>
            </c:numLit>
          </c:val>
        </c:ser>
        <c:ser>
          <c:idx val="1"/>
          <c:order val="1"/>
          <c:tx>
            <c:v>产品B</c:v>
          </c:tx>
          <c:dLbls>
            <c:showLegendKey val="false"/>
            <c:showVal val="true"/>
            <c:showCatName val="false"/>
            <c:showSerName val="false"/>
            <c:showPercent val="false"/>
            <c:showBubbleSize val="false"/>
          </c:dLbls>
          <c:cat>
            <c:strLit>
              <c:ptCount val="4"/>
              <c:pt idx="0">
                <c:v>Q1</c:v>
              </c:pt>
              <c:pt idx="1">
                <c:v>Q2</c:v>
              </c:pt>
              <c:pt idx="2">
                <c:v>Q3</c:v>
              </c:pt>
              <c:pt idx="3">
                <c:v>Q4</c:v>
              </c:pt>
            </c:strLit>
          </c:cat>
          <c:val>
            <c:numLit>
              <c:ptCount val="4"/>
              <c:pt idx="0">
                <c:v>220.0</c:v>
              </c:pt>
              <c:pt idx="1">
                <c:v>182.0</c:v>
              </c:pt>
              <c:pt idx="2">
                <c:v>191.0</c:v>
              </c:pt>
              <c:pt idx="3">
                <c:v>234.0</c:v>
              </c:pt>
            </c:numLit>
          </c:val>
        </c:ser>
        <c:axId val="0"/>
        <c:axId val="1"/>
      </c:barChart>
      <c:catAx>
        <c:axId val="0"/>
        <c:scaling>
          <c:orientation val="minMax"/>
        </c:scaling>
        <c:delete val="false"/>
        <c:axPos val="b"/>
        <c:numFmt sourceLinked="true" formatCode=""/>
        <c:majorTickMark val="cross"/>
        <c:minorTickMark val="none"/>
        <c:tickLblPos val="nextTo"/>
        <c:crossAx val="1"/>
        <c:crosses val="autoZero"/>
        <c:auto val="false"/>
      </c:catAx>
      <c:valAx>
        <c:axId val="1"/>
        <c:scaling>
          <c:orientation val="minMax"/>
        </c:scaling>
        <c:delete val="false"/>
        <c:axPos val="l"/>
        <c:title>
          <c:tx>
            <c:rich>
              <a:bodyPr anchor="t" rtlCol="false"/>
              <a:lstStyle/>
              <a:p>
                <a:pPr algn="l">
                  <a:defRPr/>
                </a:pPr>
                <a:r>
                  <a:rPr lang="zh-Hans-CN"/>
                  <a:t>销售额(万元)</a:t>
                </a:r>
                <a:endParaRPr lang="en-US" sz="1100"/>
              </a:p>
            </c:rich>
          </c:tx>
          <c:layout/>
          <c:overlay val="false"/>
        </c:title>
        <c:majorTickMark val="cross"/>
        <c:minorTickMark val="none"/>
        <c:tickLblPos val="nextTo"/>
        <c:crossAx val="0"/>
        <c:crosses val="autoZero"/>
        <c:crossBetween val="midCat"/>
      </c:valAx>
    </c:plotArea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title>
      <c:tx>
        <c:rich>
          <a:bodyPr anchor="t" rtlCol="false"/>
          <a:lstStyle/>
          <a:p>
            <a:pPr algn="l">
              <a:defRPr/>
            </a:pPr>
            <a:r>
              <a:rPr lang="zh-Hans-CN"/>
              <a:t>市场份额分布</a:t>
            </a:r>
            <a:endParaRPr lang="en-US" sz="1100"/>
          </a:p>
        </c:rich>
      </c:tx>
      <c:layout/>
    </c:title>
    <c:plotArea>
      <c:pieChart>
        <c:varyColors val="true"/>
        <c:ser>
          <c:idx val="0"/>
          <c:order val="0"/>
          <c:tx>
            <c:v>市场份额</c:v>
          </c:tx>
          <c:dLbls>
            <c:showLegendKey val="false"/>
            <c:showVal val="false"/>
            <c:showCatName val="true"/>
            <c:showSerName val="false"/>
            <c:showPercent val="true"/>
            <c:separator>
</c:separator>
            <c:showLeaderLines val="true"/>
          </c:dLbls>
          <c:cat>
            <c:strLit>
              <c:ptCount val="3"/>
              <c:pt idx="0">
                <c:v>华东地区</c:v>
              </c:pt>
              <c:pt idx="1">
                <c:v>华北地区</c:v>
              </c:pt>
              <c:pt idx="2">
                <c:v>华南地区</c:v>
              </c:pt>
            </c:strLit>
          </c:cat>
          <c:val>
            <c:numLit>
              <c:ptCount val="3"/>
              <c:pt idx="0">
                <c:v>335.0</c:v>
              </c:pt>
              <c:pt idx="1">
                <c:v>310.0</c:v>
              </c:pt>
              <c:pt idx="2">
                <c:v>234.0</c:v>
              </c:pt>
            </c:numLit>
          </c:val>
        </c:ser>
      </c:pieChart>
      <c:catAx>
        <c:axId val="0"/>
        <c:scaling>
          <c:orientation val="minMax"/>
        </c:scaling>
        <c:delete val="true"/>
        <c:axPos val="b"/>
        <c:numFmt sourceLinked="true" formatCode=""/>
        <c:majorTickMark val="cross"/>
        <c:minorTickMark val="none"/>
        <c:tickLblPos val="nextTo"/>
        <c:crossAx val="1"/>
        <c:crosses val="autoZero"/>
        <c:auto val="false"/>
      </c:catAx>
      <c:valAx>
        <c:axId val="1"/>
        <c:scaling>
          <c:orientation val="minMax"/>
        </c:scaling>
        <c:delete val="true"/>
        <c:axPos val="l"/>
        <c:majorTickMark val="cross"/>
        <c:minorTickMark val="none"/>
        <c:tickLblPos val="nextTo"/>
        <c:crossAx val="0"/>
        <c:crosses val="autoZero"/>
        <c:crossBetween val="midCat"/>
      </c:valAx>
    </c:plotArea>
  </c:chart>
  <c:externalData r:id="rId1"/>
</c:chartSpac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2025-10-26T15:10:41Z</dcterms:created>
  <dc:creator>Apache POI</dc:creator>
</cp:coreProperties>
</file>