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2024年度技术报告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2024年度技术报告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项目概述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本项目是一个基于 Java 的 Markdown 到 Word 文档转换工具,支持丰富的图文混排功能。该工具能够将 Markdown 格式的文档转换为专业的 Word 文档,并保持良好的排版格式。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技术架构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核心组件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本系统采用模块化设计,主要包含以下核心组件: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**Markdown 解析器**: 负责解析 Markdown 语法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**模板生成器**: 动态创建 Word 文档模板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**图表渲染引擎**: 将 ECharts 配置渲染为图片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**图像处理模块**: 下载和处理网络图片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**文档生成器**: 最终生成 Word 文档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1.2.2 系统流程图</w:t>
      </w:r>
    </w:p>
    <w:p>
      <w:pPr>
        <w:spacing w:lineRule="auto" w:line="360"/>
        <w:ind w:firstLineChars="200" w:firstLine="480"/>
      </w:pPr>
      <w:r>
        <w:t>【Mermaid 图表】
graph TD
    A[用户请求] --&gt; B{负载均衡器}
    B --&gt; C[边缘节点1]
    B --&gt; D[边缘节点2]
    B --&gt; E[边缘节点3]
    C --&gt; F[云数据中心]
    D --&gt; F
    E --&gt; F
    F --&gt; G[数据库集群]
    G --&gt; H[主数据库]
    G --&gt; I[从数据库1]
    G --&gt; J[从数据库2]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数据分析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1.3.1 月度用户增长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根据统计数据显示,我们的用户数量在过去六个月内呈现稳定增长态势。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1.3.2 产品销售对比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各产品线的销售数据对比如下图所示: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1.3.3 市场份额分布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技术栈说明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本项目采用 Java 17+ 开发,主要使用了以下技术栈: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**Apache POI**: Word 文档操作库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**ECharts**: 图表库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**Spring Boot**: Web 框架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**Maven**: 项目构建工具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1.5 项目进度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以下是各模块的开发进度统计: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模块名称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负责人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进度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状态</w:t>
            </w:r>
          </w:p>
        </w:tc>
      </w:tr>
      <w:tr>
        <w:tc>
          <w:p>
            <w:pPr>
              <w:jc w:val="center"/>
            </w:pPr>
            <w:r>
              <w:t>Markdown 解析器</w:t>
            </w:r>
          </w:p>
        </w:tc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图表渲染引擎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图像处理模块</w:t>
            </w:r>
          </w:p>
        </w:tc>
        <w:tc>
          <w:p>
            <w:pPr>
              <w:jc w:val="center"/>
            </w:pPr>
            <w:r>
              <w:t>王五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文档生成器</w:t>
            </w:r>
          </w:p>
        </w:tc>
        <w:tc>
          <w:p>
            <w:pPr>
              <w:jc w:val="center"/>
            </w:pPr>
            <w:r>
              <w:t>赵六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单元测试</w:t>
            </w:r>
          </w:p>
        </w:tc>
        <w:tc>
          <w:p>
            <w:pPr>
              <w:jc w:val="center"/>
            </w:pPr>
            <w:r>
              <w:t>测试组</w:t>
            </w:r>
          </w:p>
        </w:tc>
        <w:tc>
          <w:p>
            <w:pPr>
              <w:jc w:val="center"/>
            </w:pPr>
            <w:r>
              <w:t>95%</w:t>
            </w:r>
          </w:p>
        </w:tc>
        <w:tc>
          <w:p>
            <w:pPr>
              <w:jc w:val="center"/>
            </w:pPr>
            <w:r>
              <w:t>🔄 进行中</w:t>
            </w:r>
          </w:p>
        </w:tc>
      </w:tr>
      <w:tr>
        <w:tc>
          <w:p>
            <w:pPr>
              <w:jc w:val="center"/>
            </w:pPr>
            <w:r>
              <w:t>文档编写</w:t>
            </w:r>
          </w:p>
        </w:tc>
        <w:tc>
          <w:p>
            <w:pPr>
              <w:jc w:val="center"/>
            </w:pPr>
            <w:r>
              <w:t>文档组</w:t>
            </w:r>
          </w:p>
        </w:tc>
        <w:tc>
          <w:p>
            <w:pPr>
              <w:jc w:val="center"/>
            </w:pPr>
            <w:r>
              <w:t>90%</w:t>
            </w:r>
          </w:p>
        </w:tc>
        <w:tc>
          <w:p>
            <w:pPr>
              <w:jc w:val="center"/>
            </w:pPr>
            <w:r>
              <w:t>🔄 进行中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1.6 性能指标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根据性能测试结果,系统在各项指标上表现优异: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2：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测试项目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测试结果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基准值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是否达标</w:t>
            </w:r>
          </w:p>
        </w:tc>
      </w:tr>
      <w:tr>
        <w:tc>
          <w:p>
            <w:pPr>
              <w:jc w:val="center"/>
            </w:pPr>
            <w:r>
              <w:t>文档转换速度</w:t>
            </w:r>
          </w:p>
        </w:tc>
        <w:tc>
          <w:p>
            <w:pPr>
              <w:jc w:val="center"/>
            </w:pPr>
            <w:r>
              <w:t>2.5秒/页</w:t>
            </w:r>
          </w:p>
        </w:tc>
        <w:tc>
          <w:p>
            <w:pPr>
              <w:jc w:val="center"/>
            </w:pPr>
            <w:r>
              <w:t>≤3秒/页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  <w:tr>
        <w:tc>
          <w:p>
            <w:pPr>
              <w:jc w:val="center"/>
            </w:pPr>
            <w:r>
              <w:t>内存占用</w:t>
            </w:r>
          </w:p>
        </w:tc>
        <w:tc>
          <w:p>
            <w:pPr>
              <w:jc w:val="center"/>
            </w:pPr>
            <w:r>
              <w:t>85MB</w:t>
            </w:r>
          </w:p>
        </w:tc>
        <w:tc>
          <w:p>
            <w:pPr>
              <w:jc w:val="center"/>
            </w:pPr>
            <w:r>
              <w:t>≤100MB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  <w:tr>
        <w:tc>
          <w:p>
            <w:pPr>
              <w:jc w:val="center"/>
            </w:pPr>
            <w:r>
              <w:t>图表渲染时间</w:t>
            </w:r>
          </w:p>
        </w:tc>
        <w:tc>
          <w:p>
            <w:pPr>
              <w:jc w:val="center"/>
            </w:pPr>
            <w:r>
              <w:t>1.2秒/图</w:t>
            </w:r>
          </w:p>
        </w:tc>
        <w:tc>
          <w:p>
            <w:pPr>
              <w:jc w:val="center"/>
            </w:pPr>
            <w:r>
              <w:t>≤2秒/图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  <w:tr>
        <w:tc>
          <w:p>
            <w:pPr>
              <w:jc w:val="center"/>
            </w:pPr>
            <w:r>
              <w:t>并发处理能力</w:t>
            </w:r>
          </w:p>
        </w:tc>
        <w:tc>
          <w:p>
            <w:pPr>
              <w:jc w:val="center"/>
            </w:pPr>
            <w:r>
              <w:t>50请求/秒</w:t>
            </w:r>
          </w:p>
        </w:tc>
        <w:tc>
          <w:p>
            <w:pPr>
              <w:jc w:val="center"/>
            </w:pPr>
            <w:r>
              <w:t>≥30请求/秒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1.7 未来规划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1.7.1 第一阶段 (Q1-Q2)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在未来的第一阶段,我们计划实现以下功能: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支持更多图表类型 (雷达图、热力图等)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优化图像压缩算法,减少文档体积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增加批量转换功能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提供 Web 界面支持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1.7.2 第二阶段 (Q3-Q4)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第二阶段将重点提升系统性能和用户体验: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实现分布式转换,提升处理速度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增加模板自定义功能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支持 PDF 格式输出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提供 API 接口服务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1.8 总结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通过本项目的开发,我们成功实现了一个功能完善、性能优异的 Markdown 到 Word 转换工具。该工具不仅支持基本的文本转换,还能处理复杂的图表和 Mermaid 图形,生成专业的技术文档。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未来我们将继续优化系统性能,增加更多实用功能,为用户提供更好的使用体验。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---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**报告日期**: 2024年10月26日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**报告人**: 技术研发部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**审核**: 产品经理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Relationship Id="rId5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月度用户增长趋势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新增用户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120.0</c:v>
              </c:pt>
              <c:pt idx="1">
                <c:v>132.0</c:v>
              </c:pt>
              <c:pt idx="2">
                <c:v>145.0</c:v>
              </c:pt>
              <c:pt idx="3">
                <c:v>158.0</c:v>
              </c:pt>
              <c:pt idx="4">
                <c:v>178.0</c:v>
              </c:pt>
              <c:pt idx="5">
                <c:v>195.0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用户数(万)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产品销售额对比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产品A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320.0</c:v>
              </c:pt>
              <c:pt idx="1">
                <c:v>332.0</c:v>
              </c:pt>
              <c:pt idx="2">
                <c:v>301.0</c:v>
              </c:pt>
              <c:pt idx="3">
                <c:v>364.0</c:v>
              </c:pt>
            </c:numLit>
          </c:val>
        </c:ser>
        <c:ser>
          <c:idx val="1"/>
          <c:order val="1"/>
          <c:tx>
            <c:v>产品B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220.0</c:v>
              </c:pt>
              <c:pt idx="1">
                <c:v>182.0</c:v>
              </c:pt>
              <c:pt idx="2">
                <c:v>191.0</c:v>
              </c:pt>
              <c:pt idx="3">
                <c:v>234.0</c:v>
              </c:pt>
            </c:numLit>
          </c:val>
        </c:ser>
        <c:ser>
          <c:idx val="2"/>
          <c:order val="2"/>
          <c:tx>
            <c:v>产品C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150.0</c:v>
              </c:pt>
              <c:pt idx="1">
                <c:v>232.0</c:v>
              </c:pt>
              <c:pt idx="2">
                <c:v>201.0</c:v>
              </c:pt>
              <c:pt idx="3">
                <c:v>154.0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销售额(万元)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市场份额分布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市场份额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5"/>
              <c:pt idx="0">
                <c:v>华东地区</c:v>
              </c:pt>
              <c:pt idx="1">
                <c:v>华北地区</c:v>
              </c:pt>
              <c:pt idx="2">
                <c:v>华南地区</c:v>
              </c:pt>
              <c:pt idx="3">
                <c:v>西南地区</c:v>
              </c:pt>
              <c:pt idx="4">
                <c:v>其他地区</c:v>
              </c:pt>
            </c:strLit>
          </c:cat>
          <c:val>
            <c:numLit>
              <c:ptCount val="5"/>
              <c:pt idx="0">
                <c:v>335.0</c:v>
              </c:pt>
              <c:pt idx="1">
                <c:v>310.0</c:v>
              </c:pt>
              <c:pt idx="2">
                <c:v>234.0</c:v>
              </c:pt>
              <c:pt idx="3">
                <c:v>135.0</c:v>
              </c:pt>
              <c:pt idx="4">
                <c:v>156.0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2025-10-26T14:41:33Z</dcterms:created>
  <dc:creator>Apache POI</dc:creator>
</cp:coreProperties>
</file>