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spacing w:lineRule="auto" w:line="360"/>
        <w:ind/>
        <w:jc w:val="center"/>
      </w:pPr>
      <w:r>
        <w:rPr>
          <w:b w:val="on"/>
          <w:sz w:val="44"/>
          <w:rFonts w:ascii="宋体" w:hAnsi="宋体" w:cs="宋体" w:eastAsia="宋体"/>
        </w:rPr>
        <w:t>销售数据分析</w:t>
      </w:r>
    </w:p>
    <w:p>
      <w:pPr>
        <w:spacing w:lineRule="auto" w:line="360"/>
        <w:ind w:firstLineChars="200" w:firstLine="480"/>
      </w:pPr>
    </w:p>
    <w:p>
      <w:pPr>
        <w:pStyle w:val="Heading1"/>
      </w:pPr>
      <w:r>
        <w:rPr>
          <w:b w:val="on"/>
          <w:rFonts w:ascii="宋体" w:hAnsi="宋体" w:cs="宋体" w:eastAsia="宋体"/>
          <w:sz w:val="44"/>
        </w:rPr>
        <w:t>销售数据分析</w:t>
      </w:r>
    </w:p>
    <w:p>
      <w:pPr>
        <w:pStyle w:val="Heading2"/>
      </w:pPr>
      <w:r>
        <w:rPr>
          <w:b w:val="on"/>
          <w:rFonts w:ascii="宋体" w:hAnsi="宋体" w:cs="宋体" w:eastAsia="宋体"/>
          <w:sz w:val="40"/>
        </w:rPr>
        <w:t>月度销售情况概述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根据最近一年的数据统计，我们的销售额呈现出稳步增长的趋势，特别是在第三季度有了显著的增长。这一方面得益于新产品的推出，另一方面也与市场营销策略的有效调整密切相关。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表格：年度销售数据概览</w:t>
      </w:r>
    </w:p>
    <w:p>
      <w:pPr>
        <w:spacing w:lineRule="auto" w:line="360"/>
        <w:ind w:firstLineChars="200" w:firstLine="480"/>
        <w:jc w:val="center"/>
      </w:pPr>
      <w:r>
        <w:rPr>
          <w:b w:val="on"/>
          <w:rFonts w:ascii="宋体" w:hAnsi="宋体" w:cs="宋体" w:eastAsia="宋体"/>
        </w:rPr>
        <w:t>表格 1：</w:t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B4C6E7"/>
          </w:tcPr>
          <w:p>
            <w:pPr>
              <w:jc w:val="center"/>
            </w:pPr>
            <w:r>
              <w:t>月份</w:t>
            </w:r>
          </w:p>
        </w:tc>
        <w:tc>
          <w:tcPr>
            <w:shd w:color="auto" w:val="clear" w:fill="B4C6E7"/>
          </w:tcPr>
          <w:p>
            <w:pPr>
              <w:jc w:val="center"/>
            </w:pPr>
            <w:r>
              <w:t>销售额（万元）</w:t>
            </w:r>
          </w:p>
        </w:tc>
        <w:tc>
          <w:tcPr>
            <w:shd w:color="auto" w:val="clear" w:fill="B4C6E7"/>
          </w:tcPr>
          <w:p>
            <w:pPr>
              <w:jc w:val="center"/>
            </w:pPr>
            <w:r>
              <w:t>同比增长（%）</w:t>
            </w:r>
          </w:p>
        </w:tc>
        <w:tc>
          <w:tcPr>
            <w:shd w:color="auto" w:val="clear" w:fill="B4C6E7"/>
          </w:tcPr>
          <w:p>
            <w:pPr>
              <w:jc w:val="center"/>
            </w:pPr>
            <w:r>
              <w:t>排名</w:t>
            </w:r>
          </w:p>
        </w:tc>
      </w:tr>
      <w:tr>
        <w:tc>
          <w:p>
            <w:pPr>
              <w:jc w:val="center"/>
            </w:pPr>
            <w:r>
              <w:t>1月</w:t>
            </w:r>
          </w:p>
        </w:tc>
        <w:tc>
          <w:p>
            <w:pPr>
              <w:jc w:val="center"/>
            </w:pPr>
            <w:r>
              <w:t>120</w:t>
            </w:r>
          </w:p>
        </w:tc>
        <w:tc>
          <w:p>
            <w:pPr>
              <w:jc w:val="center"/>
            </w:pPr>
            <w:r>
              <w:t>5.0</w:t>
            </w:r>
          </w:p>
        </w:tc>
        <w:tc>
          <w:p>
            <w:pPr>
              <w:jc w:val="center"/>
            </w:pPr>
            <w:r>
              <w:t>4</w:t>
            </w:r>
          </w:p>
        </w:tc>
      </w:tr>
      <w:tr>
        <w:tc>
          <w:p>
            <w:pPr>
              <w:jc w:val="center"/>
            </w:pPr>
            <w:r>
              <w:t>2月</w:t>
            </w:r>
          </w:p>
        </w:tc>
        <w:tc>
          <w:p>
            <w:pPr>
              <w:jc w:val="center"/>
            </w:pPr>
            <w:r>
              <w:t>130</w:t>
            </w:r>
          </w:p>
        </w:tc>
        <w:tc>
          <w:p>
            <w:pPr>
              <w:jc w:val="center"/>
            </w:pPr>
            <w:r>
              <w:t>6.5</w:t>
            </w:r>
          </w:p>
        </w:tc>
        <w:tc>
          <w:p>
            <w:pPr>
              <w:jc w:val="center"/>
            </w:pPr>
            <w:r>
              <w:t>3</w:t>
            </w:r>
          </w:p>
        </w:tc>
      </w:tr>
      <w:tr>
        <w:tc>
          <w:p>
            <w:pPr>
              <w:jc w:val="center"/>
            </w:pPr>
            <w:r>
              <w:t>3月</w:t>
            </w:r>
          </w:p>
        </w:tc>
        <w:tc>
          <w:p>
            <w:pPr>
              <w:jc w:val="center"/>
            </w:pPr>
            <w:r>
              <w:t>145</w:t>
            </w:r>
          </w:p>
        </w:tc>
        <w:tc>
          <w:p>
            <w:pPr>
              <w:jc w:val="center"/>
            </w:pPr>
            <w:r>
              <w:t>7.0</w:t>
            </w:r>
          </w:p>
        </w:tc>
        <w:tc>
          <w:p>
            <w:pPr>
              <w:jc w:val="center"/>
            </w:pPr>
            <w:r>
              <w:t>2</w:t>
            </w:r>
          </w:p>
        </w:tc>
      </w:tr>
      <w:tr>
        <w:tc>
          <w:p>
            <w:pPr>
              <w:jc w:val="center"/>
            </w:pPr>
            <w:r>
              <w:t>4月</w:t>
            </w:r>
          </w:p>
        </w:tc>
        <w:tc>
          <w:p>
            <w:pPr>
              <w:jc w:val="center"/>
            </w:pPr>
            <w:r>
              <w:t>220</w:t>
            </w:r>
          </w:p>
        </w:tc>
        <w:tc>
          <w:p>
            <w:pPr>
              <w:jc w:val="center"/>
            </w:pPr>
            <w:r>
              <w:t>8.0</w:t>
            </w:r>
          </w:p>
        </w:tc>
        <w:tc>
          <w:p>
            <w:pPr>
              <w:jc w:val="center"/>
            </w:pPr>
            <w:r>
              <w:t>1</w:t>
            </w:r>
          </w:p>
        </w:tc>
      </w:tr>
    </w:tbl>
    <w:p>
      <w:pPr>
        <w:spacing w:lineRule="auto" w:line="360"/>
        <w:ind w:firstLineChars="200" w:firstLine="480"/>
        <w:jc w:val="center"/>
      </w:pPr>
      <w:r>
        <w:t/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月度销售额折线图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以下是用于绘制月度销售额变化趋势的ECharts配置项：</w:t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折线图：</w:t>
      </w:r>
    </w:p>
    <w:p>
      <w:pPr>
        <w:spacing w:lineRule="auto" w:line="360"/>
        <w:ind w:firstLineChars="200" w:firstLine="480"/>
        <w:jc w:val="center"/>
      </w:pPr>
      <w:r>
        <w:rPr>
          <w:b w:val="on"/>
          <w:rFonts w:ascii="宋体" w:hAnsi="宋体" w:cs="宋体" w:eastAsia="宋体"/>
        </w:rPr>
        <w:t>图表 1：</w:t>
      </w:r>
    </w:p>
    <w:p>
      <w:pPr>
        <w:jc w:val="center"/>
      </w:pPr>
    </w:p>
    <w:p>
      <w:r>
        <w:drawing>
          <wp:inline distT="0" distR="0" distB="0" distL="0">
            <wp:extent cx="5400000" cy="2880000"/>
            <wp:docPr id="0" name="chart 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柱状图：</w:t>
      </w:r>
    </w:p>
    <w:p>
      <w:pPr>
        <w:spacing w:lineRule="auto" w:line="360"/>
        <w:ind w:firstLineChars="200" w:firstLine="480"/>
        <w:jc w:val="center"/>
      </w:pPr>
      <w:r>
        <w:rPr>
          <w:b w:val="on"/>
          <w:rFonts w:ascii="宋体" w:hAnsi="宋体" w:cs="宋体" w:eastAsia="宋体"/>
        </w:rPr>
        <w:t>图表 2：</w:t>
      </w:r>
    </w:p>
    <w:p>
      <w:pPr>
        <w:jc w:val="center"/>
      </w:pPr>
    </w:p>
    <w:p>
      <w:r>
        <w:drawing>
          <wp:inline distT="0" distR="0" distB="0" distL="0">
            <wp:extent cx="5400000" cy="2880000"/>
            <wp:docPr id="1" name="chart 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spacing w:lineRule="auto" w:line="360"/>
        <w:ind w:firstLineChars="200" w:firstLine="480"/>
      </w:pPr>
      <w:r>
        <w:rPr>
          <w:rFonts w:ascii="宋体" w:hAnsi="宋体" w:cs="宋体" w:eastAsia="宋体"/>
          <w:sz w:val="24"/>
        </w:rPr>
        <w:t>饼图：</w:t>
      </w:r>
    </w:p>
    <w:p>
      <w:pPr>
        <w:spacing w:lineRule="auto" w:line="360"/>
        <w:ind w:firstLineChars="200" w:firstLine="480"/>
        <w:jc w:val="center"/>
      </w:pPr>
      <w:r>
        <w:rPr>
          <w:b w:val="on"/>
          <w:rFonts w:ascii="宋体" w:hAnsi="宋体" w:cs="宋体" w:eastAsia="宋体"/>
        </w:rPr>
        <w:t>图表 3：</w:t>
      </w:r>
    </w:p>
    <w:p>
      <w:pPr>
        <w:jc w:val="center"/>
      </w:pPr>
    </w:p>
    <w:p>
      <w:r>
        <w:drawing>
          <wp:inline distT="0" distR="0" distB="0" distL="0">
            <wp:extent cx="5400000" cy="2880000"/>
            <wp:docPr id="2" name="chart 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charts/chart1.xml" Type="http://schemas.openxmlformats.org/officeDocument/2006/relationships/chart"/><Relationship Id="rId3" Target="charts/chart2.xml" Type="http://schemas.openxmlformats.org/officeDocument/2006/relationships/chart"/><Relationship Id="rId4" Target="charts/chart3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_rels/chart3.xml.rels><?xml version="1.0" encoding="UTF-8" standalone="no"?><Relationships xmlns="http://schemas.openxmlformats.org/package/2006/relationships"><Relationship Id="rId1" Target="../embeddings/Microsoft_Excel_Worksheet3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title>
      <c:tx>
        <c:rich>
          <a:bodyPr anchor="t" rtlCol="false"/>
          <a:lstStyle/>
          <a:p>
            <a:pPr algn="l">
              <a:defRPr/>
            </a:pPr>
            <a:r>
              <a:rPr lang="zh-CN"/>
              <a:t>月度销售数据</a:t>
            </a:r>
            <a:endParaRPr lang="en-US" sz="1100"/>
          </a:p>
        </c:rich>
      </c:tx>
      <c:layout/>
    </c:title>
    <c:plotArea>
      <c:lineChart>
        <c:ser>
          <c:idx val="0"/>
          <c:order val="0"/>
          <c:tx>
            <c:v>销售额</c:v>
          </c:tx>
          <c:dLbls>
            <c:showLegendKey val="false"/>
            <c:showVal val="true"/>
            <c:showCatName val="false"/>
            <c:showSerName val="false"/>
            <c:showPercent val="false"/>
            <c:showBubbleSize val="false"/>
          </c:dLbls>
          <c:cat>
            <c:strLit>
              <c:ptCount val="6"/>
              <c:pt idx="0">
                <c:v>1月</c:v>
              </c:pt>
              <c:pt idx="1">
                <c:v>2月</c:v>
              </c:pt>
              <c:pt idx="2">
                <c:v>3月</c:v>
              </c:pt>
              <c:pt idx="3">
                <c:v>4月</c:v>
              </c:pt>
              <c:pt idx="4">
                <c:v>5月</c:v>
              </c:pt>
              <c:pt idx="5">
                <c:v>6月</c:v>
              </c:pt>
            </c:strLit>
          </c:cat>
          <c:val>
            <c:numLit>
              <c:ptCount val="6"/>
              <c:pt idx="0">
                <c:v>15.32</c:v>
              </c:pt>
              <c:pt idx="1">
                <c:v>15.87</c:v>
              </c:pt>
              <c:pt idx="2">
                <c:v>14.96</c:v>
              </c:pt>
              <c:pt idx="3">
                <c:v>16.23</c:v>
              </c:pt>
              <c:pt idx="4">
                <c:v>13.21</c:v>
              </c:pt>
              <c:pt idx="5">
                <c:v>13.53</c:v>
              </c:pt>
            </c:numLit>
          </c:val>
        </c:ser>
        <c:axId val="0"/>
        <c:axId val="1"/>
      </c:lineChart>
      <c:catAx>
        <c:axId val="0"/>
        <c:scaling>
          <c:orientation val="minMax"/>
        </c:scaling>
        <c:delete val="false"/>
        <c:axPos val="b"/>
        <c:numFmt sourceLinked="true" formatCode=""/>
        <c:majorTickMark val="cross"/>
        <c:minorTickMark val="none"/>
        <c:tickLblPos val="nextTo"/>
        <c:crossAx val="1"/>
        <c:crosses val="autoZero"/>
        <c:auto val="false"/>
      </c:catAx>
      <c:valAx>
        <c:axId val="1"/>
        <c:scaling>
          <c:orientation val="minMax"/>
        </c:scaling>
        <c:delete val="false"/>
        <c:axPos val="l"/>
        <c:title>
          <c:tx>
            <c:rich>
              <a:bodyPr anchor="t" rtlCol="false"/>
              <a:lstStyle/>
              <a:p>
                <a:pPr algn="l">
                  <a:defRPr/>
                </a:pPr>
                <a:r>
                  <a:rPr lang="zh-CN"/>
                  <a:t>销售额</a:t>
                </a:r>
                <a:endParaRPr lang="en-US" sz="1100"/>
              </a:p>
            </c:rich>
          </c:tx>
          <c:layout/>
          <c:overlay val="false"/>
        </c:title>
        <c:majorTickMark val="cross"/>
        <c:minorTickMark val="none"/>
        <c:tickLblPos val="nextTo"/>
        <c:crossAx val="0"/>
        <c:crosses val="autoZero"/>
        <c:crossBetween val="midCat"/>
      </c:valAx>
    </c:plotArea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title>
      <c:tx>
        <c:rich>
          <a:bodyPr anchor="t" rtlCol="false"/>
          <a:lstStyle/>
          <a:p>
            <a:pPr algn="l">
              <a:defRPr/>
            </a:pPr>
            <a:r>
              <a:rPr lang="zh-CN"/>
              <a:t>图1-1 2024年上半年阿勒泰地区售电量</a:t>
            </a:r>
            <a:endParaRPr lang="en-US" sz="1100"/>
          </a:p>
        </c:rich>
      </c:tx>
      <c:layout/>
    </c:title>
    <c:plotArea>
      <c:barChart>
        <c:barDir val="bar"/>
        <c:varyColors val="true"/>
        <c:ser>
          <c:idx val="0"/>
          <c:order val="0"/>
          <c:tx>
            <c:v>售电量</c:v>
          </c:tx>
          <c:dLbls>
            <c:showLegendKey val="false"/>
            <c:showVal val="true"/>
            <c:showCatName val="false"/>
            <c:showSerName val="false"/>
            <c:showPercent val="false"/>
            <c:showBubbleSize val="false"/>
          </c:dLbls>
          <c:cat>
            <c:strLit>
              <c:ptCount val="6"/>
              <c:pt idx="0">
                <c:v>2024-01</c:v>
              </c:pt>
              <c:pt idx="1">
                <c:v>2024-02</c:v>
              </c:pt>
              <c:pt idx="2">
                <c:v>2024-03</c:v>
              </c:pt>
              <c:pt idx="3">
                <c:v>2024-04</c:v>
              </c:pt>
              <c:pt idx="4">
                <c:v>2024-05</c:v>
              </c:pt>
              <c:pt idx="5">
                <c:v>2024-06</c:v>
              </c:pt>
            </c:strLit>
          </c:cat>
          <c:val>
            <c:numLit>
              <c:ptCount val="6"/>
              <c:pt idx="0">
                <c:v>5.8486</c:v>
              </c:pt>
              <c:pt idx="1">
                <c:v>5.4026</c:v>
              </c:pt>
              <c:pt idx="2">
                <c:v>4.894</c:v>
              </c:pt>
              <c:pt idx="3">
                <c:v>4.0468</c:v>
              </c:pt>
              <c:pt idx="4">
                <c:v>3.649</c:v>
              </c:pt>
              <c:pt idx="5">
                <c:v>4.2257</c:v>
              </c:pt>
            </c:numLit>
          </c:val>
        </c:ser>
        <c:axId val="0"/>
        <c:axId val="1"/>
      </c:barChart>
      <c:catAx>
        <c:axId val="0"/>
        <c:scaling>
          <c:orientation val="minMax"/>
        </c:scaling>
        <c:delete val="false"/>
        <c:axPos val="b"/>
        <c:numFmt sourceLinked="true" formatCode=""/>
        <c:majorTickMark val="cross"/>
        <c:minorTickMark val="none"/>
        <c:tickLblPos val="nextTo"/>
        <c:crossAx val="1"/>
        <c:crosses val="autoZero"/>
        <c:auto val="false"/>
      </c:catAx>
      <c:valAx>
        <c:axId val="1"/>
        <c:scaling>
          <c:orientation val="minMax"/>
        </c:scaling>
        <c:delete val="false"/>
        <c:axPos val="l"/>
        <c:title>
          <c:tx>
            <c:rich>
              <a:bodyPr anchor="t" rtlCol="false"/>
              <a:lstStyle/>
              <a:p>
                <a:pPr algn="l">
                  <a:defRPr/>
                </a:pPr>
                <a:r>
                  <a:rPr lang="zh-CN"/>
                  <a:t>售电量（亿千瓦时）</a:t>
                </a:r>
                <a:endParaRPr lang="en-US" sz="1100"/>
              </a:p>
            </c:rich>
          </c:tx>
          <c:layout/>
          <c:overlay val="false"/>
        </c:title>
        <c:majorTickMark val="cross"/>
        <c:minorTickMark val="none"/>
        <c:tickLblPos val="nextTo"/>
        <c:crossAx val="0"/>
        <c:crosses val="autoZero"/>
        <c:crossBetween val="midCat"/>
      </c:valAx>
    </c:plotArea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title>
      <c:tx>
        <c:rich>
          <a:bodyPr anchor="t" rtlCol="false"/>
          <a:lstStyle/>
          <a:p>
            <a:pPr algn="l">
              <a:defRPr/>
            </a:pPr>
            <a:r>
              <a:rPr lang="zh-CN"/>
              <a:t>旁路调用风险等级分布</a:t>
            </a:r>
            <a:endParaRPr lang="en-US" sz="1100"/>
          </a:p>
        </c:rich>
      </c:tx>
      <c:layout/>
    </c:title>
    <c:plotArea>
      <c:pieChart>
        <c:varyColors val="true"/>
        <c:ser>
          <c:idx val="0"/>
          <c:order val="0"/>
          <c:tx>
            <c:v>风险类型</c:v>
          </c:tx>
          <c:dLbls>
            <c:showLegendKey val="false"/>
            <c:showVal val="false"/>
            <c:showCatName val="true"/>
            <c:showSerName val="false"/>
            <c:showPercent val="true"/>
            <c:separator>
</c:separator>
            <c:showLeaderLines val="true"/>
          </c:dLbls>
          <c:cat>
            <c:strLit>
              <c:ptCount val="3"/>
              <c:pt idx="0">
                <c:v>高风险（数据不一致）</c:v>
              </c:pt>
              <c:pt idx="1">
                <c:v>中风险（安全漏洞）</c:v>
              </c:pt>
              <c:pt idx="2">
                <c:v>低风险（监控缺失）</c:v>
              </c:pt>
            </c:strLit>
          </c:cat>
          <c:val>
            <c:numLit>
              <c:ptCount val="3"/>
              <c:pt idx="0">
                <c:v>12.0</c:v>
              </c:pt>
              <c:pt idx="1">
                <c:v>8.0</c:v>
              </c:pt>
              <c:pt idx="2">
                <c:v>5.0</c:v>
              </c:pt>
            </c:numLit>
          </c:val>
        </c:ser>
      </c:pieChart>
      <c:catAx>
        <c:axId val="0"/>
        <c:scaling>
          <c:orientation val="minMax"/>
        </c:scaling>
        <c:delete val="true"/>
        <c:axPos val="b"/>
        <c:numFmt sourceLinked="true" formatCode=""/>
        <c:majorTickMark val="cross"/>
        <c:minorTickMark val="none"/>
        <c:tickLblPos val="nextTo"/>
        <c:crossAx val="1"/>
        <c:crosses val="autoZero"/>
        <c:auto val="false"/>
      </c:catAx>
      <c:valAx>
        <c:axId val="1"/>
        <c:scaling>
          <c:orientation val="minMax"/>
        </c:scaling>
        <c:delete val="true"/>
        <c:axPos val="l"/>
        <c:majorTickMark val="cross"/>
        <c:minorTickMark val="none"/>
        <c:tickLblPos val="nextTo"/>
        <c:crossAx val="0"/>
        <c:crosses val="autoZero"/>
        <c:crossBetween val="midCat"/>
      </c:valAx>
    </c:plotArea>
  </c:chart>
  <c:externalData r:id="rId1"/>
</c:chartSpac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2025-08-15T03:28:24Z</dcterms:created>
  <dc:creator>Apache POI</dc:creator>
</cp:coreProperties>
</file>