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080"/>
        <w:gridCol w:w="3081"/>
        <w:gridCol w:w="3081"/>
      </w:tblGrid>
      <w:tr w:rsidR="00976C87" w:rsidTr="00976C87">
        <w:tc>
          <w:tcPr>
            <w:tcW w:w="3080" w:type="dxa"/>
          </w:tcPr>
          <w:p w:rsidR="00976C87" w:rsidRPr="00976C87" w:rsidRDefault="00976C87">
            <w:pPr>
              <w:rPr>
                <w:rFonts w:ascii="Verdana" w:hAnsi="Verdana"/>
                <w:color w:val="000000"/>
                <w:sz w:val="18"/>
                <w:szCs w:val="18"/>
                <w:shd w:val="clear" w:color="auto" w:fill="FFFFFF"/>
              </w:rPr>
            </w:pPr>
            <w:r>
              <w:rPr>
                <w:rFonts w:ascii="Verdana" w:hAnsi="Verdana"/>
                <w:color w:val="000000"/>
                <w:sz w:val="18"/>
                <w:szCs w:val="18"/>
                <w:shd w:val="clear" w:color="auto" w:fill="FFFFFF"/>
              </w:rPr>
              <w:t>SMA (Simple Moving average)</w:t>
            </w:r>
          </w:p>
        </w:tc>
        <w:tc>
          <w:tcPr>
            <w:tcW w:w="3081" w:type="dxa"/>
          </w:tcPr>
          <w:p w:rsidR="00976C87" w:rsidRPr="003953CA" w:rsidRDefault="00976C87" w:rsidP="003953CA">
            <w:pPr>
              <w:rPr>
                <w:rFonts w:ascii="Verdana" w:hAnsi="Verdana"/>
                <w:color w:val="000000"/>
                <w:sz w:val="18"/>
                <w:szCs w:val="18"/>
                <w:shd w:val="clear" w:color="auto" w:fill="FFFFFF"/>
              </w:rPr>
            </w:pPr>
          </w:p>
          <w:p w:rsidR="00976C87" w:rsidRPr="00976C87" w:rsidRDefault="00976C87" w:rsidP="00976C87">
            <w:pPr>
              <w:pStyle w:val="ListParagraph"/>
              <w:numPr>
                <w:ilvl w:val="0"/>
                <w:numId w:val="1"/>
              </w:numPr>
              <w:rPr>
                <w:rFonts w:ascii="Verdana" w:hAnsi="Verdana"/>
                <w:color w:val="000000"/>
                <w:sz w:val="18"/>
                <w:szCs w:val="18"/>
                <w:shd w:val="clear" w:color="auto" w:fill="FFFFFF"/>
              </w:rPr>
            </w:pPr>
            <w:r w:rsidRPr="00976C87">
              <w:rPr>
                <w:rFonts w:ascii="Verdana" w:hAnsi="Verdana"/>
                <w:color w:val="000000"/>
                <w:sz w:val="18"/>
                <w:szCs w:val="18"/>
                <w:shd w:val="clear" w:color="auto" w:fill="FFFFFF"/>
              </w:rPr>
              <w:t>to smooth the data,</w:t>
            </w:r>
          </w:p>
          <w:p w:rsidR="00976C87" w:rsidRDefault="00976C87" w:rsidP="00976C87">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Eliminate noise to identify trends.</w:t>
            </w:r>
          </w:p>
          <w:p w:rsidR="00976C87" w:rsidRDefault="00976C87" w:rsidP="00976C87">
            <w:pPr>
              <w:pStyle w:val="ListParagraph"/>
              <w:numPr>
                <w:ilvl w:val="0"/>
                <w:numId w:val="1"/>
              </w:numPr>
              <w:rPr>
                <w:rFonts w:ascii="Verdana" w:hAnsi="Verdana"/>
                <w:color w:val="000000"/>
                <w:sz w:val="18"/>
                <w:szCs w:val="18"/>
                <w:shd w:val="clear" w:color="auto" w:fill="FFFFFF"/>
              </w:rPr>
            </w:pPr>
            <w:r>
              <w:rPr>
                <w:rFonts w:ascii="Verdana" w:hAnsi="Verdana"/>
                <w:color w:val="000000"/>
                <w:sz w:val="18"/>
                <w:szCs w:val="18"/>
                <w:shd w:val="clear" w:color="auto" w:fill="FFFFFF"/>
              </w:rPr>
              <w:t> Each output value is the average of the previous </w:t>
            </w:r>
            <w:r>
              <w:rPr>
                <w:rFonts w:ascii="Verdana" w:hAnsi="Verdana"/>
                <w:i/>
                <w:iCs/>
                <w:color w:val="000000"/>
                <w:sz w:val="18"/>
                <w:szCs w:val="18"/>
              </w:rPr>
              <w:t>n</w:t>
            </w:r>
            <w:r>
              <w:rPr>
                <w:rFonts w:ascii="Verdana" w:hAnsi="Verdana"/>
                <w:color w:val="000000"/>
                <w:sz w:val="18"/>
                <w:szCs w:val="18"/>
                <w:shd w:val="clear" w:color="auto" w:fill="FFFFFF"/>
              </w:rPr>
              <w:t> values.</w:t>
            </w:r>
          </w:p>
          <w:p w:rsidR="00F93E6D" w:rsidRPr="00976C87" w:rsidRDefault="00F93E6D" w:rsidP="00976C87">
            <w:pPr>
              <w:pStyle w:val="ListParagraph"/>
              <w:numPr>
                <w:ilvl w:val="0"/>
                <w:numId w:val="1"/>
              </w:numPr>
              <w:rPr>
                <w:rFonts w:ascii="Verdana" w:hAnsi="Verdana"/>
                <w:color w:val="000000"/>
                <w:sz w:val="18"/>
                <w:szCs w:val="18"/>
                <w:shd w:val="clear" w:color="auto" w:fill="FFFFFF"/>
              </w:rPr>
            </w:pPr>
            <w:r>
              <w:rPr>
                <w:rFonts w:ascii="Verdana" w:hAnsi="Verdana"/>
                <w:color w:val="000000"/>
                <w:sz w:val="18"/>
                <w:szCs w:val="18"/>
                <w:shd w:val="clear" w:color="auto" w:fill="FFFFFF"/>
              </w:rPr>
              <w:t>each value in the time period carries equal weight, and values outside of the time period are not included in the average.(helps in filtering out changes)</w:t>
            </w:r>
          </w:p>
          <w:p w:rsidR="00976C87" w:rsidRDefault="00976C87" w:rsidP="00976C87"/>
        </w:tc>
        <w:tc>
          <w:tcPr>
            <w:tcW w:w="3081" w:type="dxa"/>
          </w:tcPr>
          <w:p w:rsidR="00976C87" w:rsidRDefault="00F93E6D">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009650" cy="581025"/>
                  <wp:effectExtent l="0" t="0" r="0" b="9525"/>
                  <wp:docPr id="2" name="Picture 2" descr="https://www.fmlabs.com/reference/Simpl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mlabs.com/reference/SimpleM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581025"/>
                          </a:xfrm>
                          <a:prstGeom prst="rect">
                            <a:avLst/>
                          </a:prstGeom>
                          <a:noFill/>
                          <a:ln>
                            <a:noFill/>
                          </a:ln>
                        </pic:spPr>
                      </pic:pic>
                    </a:graphicData>
                  </a:graphic>
                </wp:inline>
              </w:drawing>
            </w:r>
          </w:p>
          <w:p w:rsidR="00F93E6D" w:rsidRDefault="00F93E6D">
            <w:pPr>
              <w:rPr>
                <w:rFonts w:ascii="Verdana" w:hAnsi="Verdana"/>
                <w:color w:val="000000"/>
                <w:sz w:val="18"/>
                <w:szCs w:val="18"/>
                <w:shd w:val="clear" w:color="auto" w:fill="FFFFFF"/>
              </w:rPr>
            </w:pPr>
          </w:p>
          <w:p w:rsidR="00F93E6D" w:rsidRDefault="00F93E6D">
            <w:pPr>
              <w:rPr>
                <w:rFonts w:ascii="Verdana" w:hAnsi="Verdana"/>
                <w:color w:val="000000"/>
                <w:sz w:val="18"/>
                <w:szCs w:val="18"/>
                <w:shd w:val="clear" w:color="auto" w:fill="FFFFFF"/>
              </w:rPr>
            </w:pPr>
          </w:p>
          <w:p w:rsidR="00F93E6D" w:rsidRDefault="00F93E6D">
            <w:pPr>
              <w:rPr>
                <w:rFonts w:ascii="Verdana" w:hAnsi="Verdana"/>
                <w:color w:val="000000"/>
                <w:sz w:val="18"/>
                <w:szCs w:val="18"/>
                <w:shd w:val="clear" w:color="auto" w:fill="FFFFFF"/>
              </w:rPr>
            </w:pPr>
          </w:p>
          <w:p w:rsidR="00F93E6D" w:rsidRDefault="00F93E6D">
            <w:pPr>
              <w:rPr>
                <w:rFonts w:ascii="Verdana" w:hAnsi="Verdana"/>
                <w:color w:val="000000"/>
                <w:sz w:val="18"/>
                <w:szCs w:val="18"/>
                <w:shd w:val="clear" w:color="auto" w:fill="FFFFFF"/>
              </w:rPr>
            </w:pPr>
          </w:p>
          <w:p w:rsidR="00F93E6D" w:rsidRDefault="00F93E6D"/>
        </w:tc>
      </w:tr>
    </w:tbl>
    <w:p w:rsidR="00D5312E" w:rsidRDefault="00D5312E" w:rsidP="00976C87">
      <w:pPr>
        <w:ind w:firstLine="720"/>
      </w:pPr>
    </w:p>
    <w:tbl>
      <w:tblPr>
        <w:tblStyle w:val="TableGrid"/>
        <w:tblW w:w="0" w:type="auto"/>
        <w:tblLook w:val="04A0" w:firstRow="1" w:lastRow="0" w:firstColumn="1" w:lastColumn="0" w:noHBand="0" w:noVBand="1"/>
      </w:tblPr>
      <w:tblGrid>
        <w:gridCol w:w="3080"/>
        <w:gridCol w:w="3081"/>
        <w:gridCol w:w="3081"/>
      </w:tblGrid>
      <w:tr w:rsidR="00F93E6D" w:rsidTr="00F93E6D">
        <w:tc>
          <w:tcPr>
            <w:tcW w:w="3080" w:type="dxa"/>
          </w:tcPr>
          <w:p w:rsidR="00F93E6D" w:rsidRDefault="00F93E6D" w:rsidP="00976C87">
            <w:r>
              <w:t>ABI(Absolut Breadth Index)</w:t>
            </w:r>
          </w:p>
        </w:tc>
        <w:tc>
          <w:tcPr>
            <w:tcW w:w="3081" w:type="dxa"/>
          </w:tcPr>
          <w:p w:rsidR="00F93E6D" w:rsidRPr="00F93E6D" w:rsidRDefault="00F93E6D" w:rsidP="00F93E6D">
            <w:pPr>
              <w:pStyle w:val="ListParagraph"/>
              <w:numPr>
                <w:ilvl w:val="0"/>
                <w:numId w:val="1"/>
              </w:numPr>
            </w:pPr>
            <w:r w:rsidRPr="00F93E6D">
              <w:rPr>
                <w:rFonts w:ascii="Verdana" w:hAnsi="Verdana"/>
                <w:color w:val="000000"/>
                <w:sz w:val="18"/>
                <w:szCs w:val="18"/>
                <w:shd w:val="clear" w:color="auto" w:fill="FFFFFF"/>
              </w:rPr>
              <w:t>The absolute value of the difference between the number of advancing issues and the number of declining issues.</w:t>
            </w:r>
          </w:p>
          <w:p w:rsidR="00F93E6D" w:rsidRDefault="00F93E6D" w:rsidP="00F93E6D">
            <w:pPr>
              <w:pStyle w:val="ListParagraph"/>
              <w:numPr>
                <w:ilvl w:val="0"/>
                <w:numId w:val="1"/>
              </w:numPr>
            </w:pPr>
            <w:r w:rsidRPr="00F93E6D">
              <w:rPr>
                <w:rFonts w:ascii="Verdana" w:hAnsi="Verdana"/>
                <w:color w:val="000000"/>
                <w:sz w:val="18"/>
                <w:szCs w:val="18"/>
                <w:shd w:val="clear" w:color="auto" w:fill="FFFFFF"/>
              </w:rPr>
              <w:t> </w:t>
            </w:r>
            <w:r>
              <w:rPr>
                <w:rFonts w:ascii="Verdana" w:hAnsi="Verdana"/>
                <w:color w:val="000000"/>
                <w:sz w:val="18"/>
                <w:szCs w:val="18"/>
                <w:shd w:val="clear" w:color="auto" w:fill="FFFFFF"/>
              </w:rPr>
              <w:t>Higher values indicate higher market volatility,</w:t>
            </w:r>
          </w:p>
        </w:tc>
        <w:tc>
          <w:tcPr>
            <w:tcW w:w="3081" w:type="dxa"/>
          </w:tcPr>
          <w:p w:rsidR="00F93E6D" w:rsidRDefault="00F93E6D"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304925" cy="257175"/>
                  <wp:effectExtent l="0" t="0" r="9525" b="9525"/>
                  <wp:docPr id="3" name="Picture 3" descr="https://www.fmlabs.com/reference/AB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mlabs.com/reference/AB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257175"/>
                          </a:xfrm>
                          <a:prstGeom prst="rect">
                            <a:avLst/>
                          </a:prstGeom>
                          <a:noFill/>
                          <a:ln>
                            <a:noFill/>
                          </a:ln>
                        </pic:spPr>
                      </pic:pic>
                    </a:graphicData>
                  </a:graphic>
                </wp:inline>
              </w:drawing>
            </w:r>
          </w:p>
        </w:tc>
      </w:tr>
    </w:tbl>
    <w:p w:rsidR="00F93E6D" w:rsidRDefault="00F93E6D" w:rsidP="00976C87">
      <w:pPr>
        <w:ind w:firstLine="720"/>
      </w:pPr>
    </w:p>
    <w:tbl>
      <w:tblPr>
        <w:tblStyle w:val="TableGrid"/>
        <w:tblW w:w="0" w:type="auto"/>
        <w:tblLook w:val="04A0" w:firstRow="1" w:lastRow="0" w:firstColumn="1" w:lastColumn="0" w:noHBand="0" w:noVBand="1"/>
      </w:tblPr>
      <w:tblGrid>
        <w:gridCol w:w="2430"/>
        <w:gridCol w:w="2576"/>
        <w:gridCol w:w="4236"/>
      </w:tblGrid>
      <w:tr w:rsidR="00F93E6D" w:rsidTr="00F93E6D">
        <w:tc>
          <w:tcPr>
            <w:tcW w:w="3080" w:type="dxa"/>
          </w:tcPr>
          <w:p w:rsidR="00F93E6D" w:rsidRDefault="00F93E6D" w:rsidP="00976C87">
            <w:r>
              <w:t>Accumulate or running Total</w:t>
            </w:r>
          </w:p>
        </w:tc>
        <w:tc>
          <w:tcPr>
            <w:tcW w:w="3081" w:type="dxa"/>
          </w:tcPr>
          <w:p w:rsidR="00F93E6D" w:rsidRPr="00F93E6D" w:rsidRDefault="00F93E6D" w:rsidP="00F93E6D">
            <w:pPr>
              <w:pStyle w:val="ListParagraph"/>
              <w:numPr>
                <w:ilvl w:val="0"/>
                <w:numId w:val="1"/>
              </w:numPr>
            </w:pPr>
            <w:r>
              <w:rPr>
                <w:rFonts w:ascii="Verdana" w:hAnsi="Verdana"/>
                <w:color w:val="000000"/>
                <w:sz w:val="18"/>
                <w:szCs w:val="18"/>
                <w:shd w:val="clear" w:color="auto" w:fill="FFFFFF"/>
              </w:rPr>
              <w:t> Calculates the running total of the input data.</w:t>
            </w:r>
          </w:p>
          <w:p w:rsidR="00F93E6D" w:rsidRDefault="00F93E6D" w:rsidP="00F93E6D">
            <w:pPr>
              <w:pStyle w:val="ListParagraph"/>
              <w:numPr>
                <w:ilvl w:val="0"/>
                <w:numId w:val="1"/>
              </w:numPr>
            </w:pPr>
            <w:r>
              <w:rPr>
                <w:rFonts w:ascii="Verdana" w:hAnsi="Verdana"/>
                <w:color w:val="000000"/>
                <w:sz w:val="18"/>
                <w:szCs w:val="18"/>
                <w:shd w:val="clear" w:color="auto" w:fill="FFFFFF"/>
              </w:rPr>
              <w:t>Especially useful if the input data contains both positive and negative values so that the output will vary around zero.</w:t>
            </w:r>
          </w:p>
        </w:tc>
        <w:tc>
          <w:tcPr>
            <w:tcW w:w="3081" w:type="dxa"/>
          </w:tcPr>
          <w:p w:rsidR="00F93E6D" w:rsidRDefault="00F93E6D"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2552700" cy="914400"/>
                  <wp:effectExtent l="0" t="0" r="0" b="0"/>
                  <wp:docPr id="4" name="Picture 4" descr="https://www.fmlabs.com/reference/Accumu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mlabs.com/reference/Accumula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914400"/>
                          </a:xfrm>
                          <a:prstGeom prst="rect">
                            <a:avLst/>
                          </a:prstGeom>
                          <a:noFill/>
                          <a:ln>
                            <a:noFill/>
                          </a:ln>
                        </pic:spPr>
                      </pic:pic>
                    </a:graphicData>
                  </a:graphic>
                </wp:inline>
              </w:drawing>
            </w:r>
          </w:p>
        </w:tc>
      </w:tr>
    </w:tbl>
    <w:p w:rsidR="00F93E6D" w:rsidRDefault="00F93E6D" w:rsidP="00976C87">
      <w:pPr>
        <w:ind w:firstLine="720"/>
      </w:pPr>
    </w:p>
    <w:tbl>
      <w:tblPr>
        <w:tblStyle w:val="TableGrid"/>
        <w:tblW w:w="9464" w:type="dxa"/>
        <w:tblLayout w:type="fixed"/>
        <w:tblLook w:val="04A0" w:firstRow="1" w:lastRow="0" w:firstColumn="1" w:lastColumn="0" w:noHBand="0" w:noVBand="1"/>
      </w:tblPr>
      <w:tblGrid>
        <w:gridCol w:w="1490"/>
        <w:gridCol w:w="2304"/>
        <w:gridCol w:w="5670"/>
      </w:tblGrid>
      <w:tr w:rsidR="00F93E6D" w:rsidTr="003953CA">
        <w:tc>
          <w:tcPr>
            <w:tcW w:w="1490" w:type="dxa"/>
          </w:tcPr>
          <w:p w:rsidR="00F93E6D" w:rsidRDefault="00290928" w:rsidP="00976C87">
            <w:r>
              <w:t>Accumulation Swing Index</w:t>
            </w:r>
          </w:p>
        </w:tc>
        <w:tc>
          <w:tcPr>
            <w:tcW w:w="2304" w:type="dxa"/>
          </w:tcPr>
          <w:p w:rsidR="00F93E6D" w:rsidRPr="00290928" w:rsidRDefault="00290928" w:rsidP="00290928">
            <w:pPr>
              <w:pStyle w:val="ListParagraph"/>
              <w:numPr>
                <w:ilvl w:val="0"/>
                <w:numId w:val="1"/>
              </w:numPr>
            </w:pPr>
            <w:r>
              <w:rPr>
                <w:rFonts w:ascii="Verdana" w:hAnsi="Verdana"/>
                <w:color w:val="000000"/>
                <w:sz w:val="18"/>
                <w:szCs w:val="18"/>
                <w:shd w:val="clear" w:color="auto" w:fill="FFFFFF"/>
              </w:rPr>
              <w:t> a running total of the Swing Index</w:t>
            </w:r>
          </w:p>
          <w:p w:rsidR="00290928" w:rsidRPr="00C8079A" w:rsidRDefault="00290928" w:rsidP="00290928">
            <w:pPr>
              <w:pStyle w:val="ListParagraph"/>
              <w:numPr>
                <w:ilvl w:val="0"/>
                <w:numId w:val="1"/>
              </w:numPr>
            </w:pPr>
            <w:r>
              <w:rPr>
                <w:rFonts w:ascii="Verdana" w:hAnsi="Verdana"/>
                <w:color w:val="000000"/>
                <w:sz w:val="18"/>
                <w:szCs w:val="18"/>
                <w:shd w:val="clear" w:color="auto" w:fill="FFFFFF"/>
              </w:rPr>
              <w:t> Swing Index is calculated using only the two most recent bars, by summing it, the Accumulation Swing Index shows long-term trends</w:t>
            </w:r>
          </w:p>
          <w:p w:rsidR="00C8079A" w:rsidRPr="00C8079A" w:rsidRDefault="00C8079A" w:rsidP="00290928">
            <w:pPr>
              <w:pStyle w:val="ListParagraph"/>
              <w:numPr>
                <w:ilvl w:val="0"/>
                <w:numId w:val="1"/>
              </w:numPr>
            </w:pPr>
            <w:r>
              <w:rPr>
                <w:rFonts w:ascii="Verdana" w:hAnsi="Verdana"/>
                <w:color w:val="000000"/>
                <w:sz w:val="18"/>
                <w:szCs w:val="18"/>
                <w:shd w:val="clear" w:color="auto" w:fill="FFFFFF"/>
              </w:rPr>
              <w:t>positive in a long-term up trend</w:t>
            </w:r>
          </w:p>
          <w:p w:rsidR="00C8079A" w:rsidRPr="003953CA" w:rsidRDefault="003953CA" w:rsidP="00290928">
            <w:pPr>
              <w:pStyle w:val="ListParagraph"/>
              <w:numPr>
                <w:ilvl w:val="0"/>
                <w:numId w:val="1"/>
              </w:numPr>
            </w:pPr>
            <w:r>
              <w:rPr>
                <w:rFonts w:ascii="Verdana" w:hAnsi="Verdana"/>
                <w:color w:val="000000"/>
                <w:sz w:val="18"/>
                <w:szCs w:val="18"/>
                <w:shd w:val="clear" w:color="auto" w:fill="FFFFFF"/>
              </w:rPr>
              <w:t> Negative in a long-term down trend and it will hover around zero if the market is flat.</w:t>
            </w:r>
          </w:p>
          <w:p w:rsidR="003953CA" w:rsidRDefault="003953CA" w:rsidP="00290928">
            <w:pPr>
              <w:pStyle w:val="ListParagraph"/>
              <w:numPr>
                <w:ilvl w:val="0"/>
                <w:numId w:val="1"/>
              </w:numPr>
            </w:pPr>
            <w:r>
              <w:rPr>
                <w:rFonts w:ascii="Verdana" w:hAnsi="Verdana"/>
                <w:color w:val="000000"/>
                <w:sz w:val="18"/>
                <w:szCs w:val="18"/>
                <w:shd w:val="clear" w:color="auto" w:fill="FFFFFF"/>
              </w:rPr>
              <w:t xml:space="preserve"> It can be interpreted by comparing it to </w:t>
            </w:r>
            <w:r>
              <w:rPr>
                <w:rFonts w:ascii="Verdana" w:hAnsi="Verdana"/>
                <w:color w:val="000000"/>
                <w:sz w:val="18"/>
                <w:szCs w:val="18"/>
                <w:shd w:val="clear" w:color="auto" w:fill="FFFFFF"/>
              </w:rPr>
              <w:lastRenderedPageBreak/>
              <w:t>the price and looking for divergence or confirmation.</w:t>
            </w:r>
          </w:p>
        </w:tc>
        <w:tc>
          <w:tcPr>
            <w:tcW w:w="5670" w:type="dxa"/>
          </w:tcPr>
          <w:p w:rsidR="00F93E6D" w:rsidRDefault="003953CA"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drawing>
                <wp:inline distT="0" distB="0" distL="0" distR="0" wp14:anchorId="314F22E1" wp14:editId="43F9D0AE">
                  <wp:extent cx="3762375" cy="238125"/>
                  <wp:effectExtent l="0" t="0" r="9525" b="9525"/>
                  <wp:docPr id="1" name="Picture 1" descr="https://www.fmlabs.com/reference/AccumSwing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AccumSwingInde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38125"/>
                          </a:xfrm>
                          <a:prstGeom prst="rect">
                            <a:avLst/>
                          </a:prstGeom>
                          <a:noFill/>
                          <a:ln>
                            <a:noFill/>
                          </a:ln>
                        </pic:spPr>
                      </pic:pic>
                    </a:graphicData>
                  </a:graphic>
                </wp:inline>
              </w:drawing>
            </w:r>
          </w:p>
        </w:tc>
      </w:tr>
    </w:tbl>
    <w:p w:rsidR="00F93E6D" w:rsidRDefault="00F93E6D" w:rsidP="00976C87">
      <w:pPr>
        <w:ind w:firstLine="720"/>
      </w:pPr>
    </w:p>
    <w:tbl>
      <w:tblPr>
        <w:tblStyle w:val="TableGrid"/>
        <w:tblW w:w="0" w:type="auto"/>
        <w:tblLook w:val="04A0" w:firstRow="1" w:lastRow="0" w:firstColumn="1" w:lastColumn="0" w:noHBand="0" w:noVBand="1"/>
      </w:tblPr>
      <w:tblGrid>
        <w:gridCol w:w="2784"/>
        <w:gridCol w:w="1773"/>
        <w:gridCol w:w="4685"/>
      </w:tblGrid>
      <w:tr w:rsidR="003953CA" w:rsidTr="003953CA">
        <w:tc>
          <w:tcPr>
            <w:tcW w:w="3080" w:type="dxa"/>
          </w:tcPr>
          <w:p w:rsidR="003953CA" w:rsidRDefault="003953CA" w:rsidP="00976C87">
            <w:r>
              <w:rPr>
                <w:rFonts w:ascii="Verdana" w:hAnsi="Verdana"/>
                <w:b/>
                <w:bCs/>
                <w:color w:val="000000"/>
                <w:sz w:val="18"/>
                <w:szCs w:val="18"/>
              </w:rPr>
              <w:t>Moving Average Convergence/Divergence (MACD)</w:t>
            </w:r>
          </w:p>
        </w:tc>
        <w:tc>
          <w:tcPr>
            <w:tcW w:w="3081" w:type="dxa"/>
          </w:tcPr>
          <w:p w:rsidR="003953CA" w:rsidRPr="003953CA" w:rsidRDefault="003953CA" w:rsidP="003953CA">
            <w:pPr>
              <w:pStyle w:val="ListParagraph"/>
              <w:numPr>
                <w:ilvl w:val="0"/>
                <w:numId w:val="1"/>
              </w:numPr>
            </w:pPr>
            <w:r>
              <w:rPr>
                <w:rFonts w:ascii="Verdana" w:hAnsi="Verdana"/>
                <w:color w:val="000000"/>
                <w:sz w:val="18"/>
                <w:szCs w:val="18"/>
                <w:shd w:val="clear" w:color="auto" w:fill="FFFFFF"/>
              </w:rPr>
              <w:t>difference between two Exponential Moving Averages</w:t>
            </w:r>
          </w:p>
          <w:p w:rsidR="003953CA" w:rsidRPr="003953CA" w:rsidRDefault="003953CA" w:rsidP="003953CA">
            <w:pPr>
              <w:pStyle w:val="ListParagraph"/>
              <w:numPr>
                <w:ilvl w:val="0"/>
                <w:numId w:val="1"/>
              </w:numPr>
            </w:pPr>
            <w:r>
              <w:rPr>
                <w:rFonts w:ascii="Verdana" w:hAnsi="Verdana"/>
                <w:color w:val="000000"/>
                <w:sz w:val="18"/>
                <w:szCs w:val="18"/>
                <w:shd w:val="clear" w:color="auto" w:fill="FFFFFF"/>
              </w:rPr>
              <w:t>High values indicate overbought conditions, low values indicate oversold conditions.</w:t>
            </w:r>
          </w:p>
          <w:p w:rsidR="003953CA" w:rsidRPr="003953CA" w:rsidRDefault="003953CA" w:rsidP="003953CA">
            <w:pPr>
              <w:pStyle w:val="ListParagraph"/>
              <w:numPr>
                <w:ilvl w:val="0"/>
                <w:numId w:val="1"/>
              </w:numPr>
            </w:pPr>
            <w:r>
              <w:rPr>
                <w:rFonts w:ascii="Verdana" w:hAnsi="Verdana"/>
                <w:color w:val="000000"/>
                <w:sz w:val="18"/>
                <w:szCs w:val="18"/>
                <w:shd w:val="clear" w:color="auto" w:fill="FFFFFF"/>
              </w:rPr>
              <w:t> Divergence with the price indicates an end to the current trend, especially if the MACD is at extreme high or low values</w:t>
            </w:r>
          </w:p>
          <w:p w:rsidR="003953CA" w:rsidRPr="00C854D5" w:rsidRDefault="00C854D5" w:rsidP="003953CA">
            <w:pPr>
              <w:pStyle w:val="ListParagraph"/>
              <w:numPr>
                <w:ilvl w:val="0"/>
                <w:numId w:val="1"/>
              </w:num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MACD line crosses above the signal line a buy signal is</w:t>
            </w:r>
            <w:proofErr w:type="gramEnd"/>
            <w:r>
              <w:rPr>
                <w:rFonts w:ascii="Verdana" w:hAnsi="Verdana"/>
                <w:color w:val="000000"/>
                <w:sz w:val="18"/>
                <w:szCs w:val="18"/>
                <w:shd w:val="clear" w:color="auto" w:fill="FFFFFF"/>
              </w:rPr>
              <w:t xml:space="preserve"> generated. When the MACD crosses below the signal line a sell signal is generated</w:t>
            </w:r>
          </w:p>
          <w:p w:rsidR="00C854D5" w:rsidRPr="00C854D5" w:rsidRDefault="00C854D5" w:rsidP="003953CA">
            <w:pPr>
              <w:pStyle w:val="ListParagraph"/>
              <w:numPr>
                <w:ilvl w:val="0"/>
                <w:numId w:val="1"/>
              </w:numPr>
            </w:pPr>
            <w:r>
              <w:rPr>
                <w:rFonts w:ascii="Verdana" w:hAnsi="Verdana"/>
                <w:color w:val="000000"/>
                <w:sz w:val="18"/>
                <w:szCs w:val="18"/>
                <w:shd w:val="clear" w:color="auto" w:fill="FFFFFF"/>
              </w:rPr>
              <w:t>MACD should be above zero for a buy, and below zero for a sell.</w:t>
            </w:r>
          </w:p>
          <w:p w:rsidR="00C854D5" w:rsidRPr="00C854D5" w:rsidRDefault="00C854D5" w:rsidP="003953CA">
            <w:pPr>
              <w:pStyle w:val="ListParagraph"/>
              <w:numPr>
                <w:ilvl w:val="0"/>
                <w:numId w:val="1"/>
              </w:numPr>
            </w:pPr>
            <w:proofErr w:type="gramStart"/>
            <w:r>
              <w:rPr>
                <w:rFonts w:ascii="Verdana" w:hAnsi="Verdana"/>
                <w:color w:val="000000"/>
                <w:sz w:val="18"/>
                <w:szCs w:val="18"/>
                <w:shd w:val="clear" w:color="auto" w:fill="FFFFFF"/>
              </w:rPr>
              <w:t>time</w:t>
            </w:r>
            <w:proofErr w:type="gramEnd"/>
            <w:r>
              <w:rPr>
                <w:rFonts w:ascii="Verdana" w:hAnsi="Verdana"/>
                <w:color w:val="000000"/>
                <w:sz w:val="18"/>
                <w:szCs w:val="18"/>
                <w:shd w:val="clear" w:color="auto" w:fill="FFFFFF"/>
              </w:rPr>
              <w:t xml:space="preserve"> periods for the MACD are often given as 26 and 12.</w:t>
            </w:r>
          </w:p>
          <w:p w:rsidR="00C854D5" w:rsidRDefault="00C854D5" w:rsidP="003953CA">
            <w:pPr>
              <w:pStyle w:val="ListParagraph"/>
              <w:numPr>
                <w:ilvl w:val="0"/>
                <w:numId w:val="1"/>
              </w:numPr>
            </w:pPr>
          </w:p>
        </w:tc>
        <w:tc>
          <w:tcPr>
            <w:tcW w:w="3081" w:type="dxa"/>
          </w:tcPr>
          <w:p w:rsidR="003953CA" w:rsidRDefault="00C854D5"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2828925" cy="714375"/>
                  <wp:effectExtent l="0" t="0" r="9525" b="9525"/>
                  <wp:docPr id="5" name="Picture 5" descr="https://www.fmlabs.com/reference/MA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mlabs.com/reference/MAC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14375"/>
                          </a:xfrm>
                          <a:prstGeom prst="rect">
                            <a:avLst/>
                          </a:prstGeom>
                          <a:noFill/>
                          <a:ln>
                            <a:noFill/>
                          </a:ln>
                        </pic:spPr>
                      </pic:pic>
                    </a:graphicData>
                  </a:graphic>
                </wp:inline>
              </w:drawing>
            </w:r>
          </w:p>
        </w:tc>
      </w:tr>
    </w:tbl>
    <w:p w:rsidR="003953CA" w:rsidRDefault="003953CA" w:rsidP="00976C87">
      <w:pPr>
        <w:ind w:firstLine="720"/>
      </w:pPr>
    </w:p>
    <w:tbl>
      <w:tblPr>
        <w:tblStyle w:val="TableGrid"/>
        <w:tblW w:w="0" w:type="auto"/>
        <w:tblLook w:val="04A0" w:firstRow="1" w:lastRow="0" w:firstColumn="1" w:lastColumn="0" w:noHBand="0" w:noVBand="1"/>
      </w:tblPr>
      <w:tblGrid>
        <w:gridCol w:w="3080"/>
        <w:gridCol w:w="3081"/>
        <w:gridCol w:w="3081"/>
      </w:tblGrid>
      <w:tr w:rsidR="00C854D5" w:rsidTr="00C854D5">
        <w:tc>
          <w:tcPr>
            <w:tcW w:w="3080" w:type="dxa"/>
          </w:tcPr>
          <w:p w:rsidR="00C854D5" w:rsidRDefault="006C623C" w:rsidP="00976C87">
            <w:r>
              <w:rPr>
                <w:rFonts w:ascii="Verdana" w:hAnsi="Verdana"/>
                <w:b/>
                <w:bCs/>
                <w:color w:val="000000"/>
                <w:sz w:val="18"/>
                <w:szCs w:val="18"/>
              </w:rPr>
              <w:lastRenderedPageBreak/>
              <w:t>Relative Strength Index (RSI)</w:t>
            </w:r>
          </w:p>
        </w:tc>
        <w:tc>
          <w:tcPr>
            <w:tcW w:w="3081" w:type="dxa"/>
          </w:tcPr>
          <w:p w:rsidR="00C854D5" w:rsidRPr="006C623C" w:rsidRDefault="006C623C" w:rsidP="006C623C">
            <w:pPr>
              <w:pStyle w:val="ListParagraph"/>
              <w:numPr>
                <w:ilvl w:val="0"/>
                <w:numId w:val="1"/>
              </w:numPr>
            </w:pPr>
            <w:r>
              <w:rPr>
                <w:rFonts w:ascii="Verdana" w:hAnsi="Verdana"/>
                <w:color w:val="000000"/>
                <w:sz w:val="18"/>
                <w:szCs w:val="18"/>
                <w:shd w:val="clear" w:color="auto" w:fill="FFFFFF"/>
              </w:rPr>
              <w:t>Calculates a ratio of the recent upward price movements to the absolute price movement.</w:t>
            </w:r>
          </w:p>
          <w:p w:rsidR="006C623C" w:rsidRPr="006C623C" w:rsidRDefault="006C623C" w:rsidP="006C623C">
            <w:pPr>
              <w:pStyle w:val="ListParagraph"/>
              <w:numPr>
                <w:ilvl w:val="0"/>
                <w:numId w:val="1"/>
              </w:numPr>
            </w:pPr>
            <w:r>
              <w:rPr>
                <w:rFonts w:ascii="Verdana" w:hAnsi="Verdana"/>
                <w:color w:val="000000"/>
                <w:sz w:val="18"/>
                <w:szCs w:val="18"/>
                <w:shd w:val="clear" w:color="auto" w:fill="FFFFFF"/>
              </w:rPr>
              <w:t>ranges from 0 to 100</w:t>
            </w:r>
          </w:p>
          <w:p w:rsidR="006C623C" w:rsidRPr="006C623C" w:rsidRDefault="006C623C" w:rsidP="006C623C">
            <w:pPr>
              <w:pStyle w:val="ListParagraph"/>
              <w:numPr>
                <w:ilvl w:val="0"/>
                <w:numId w:val="1"/>
              </w:numPr>
            </w:pPr>
            <w:r>
              <w:rPr>
                <w:rFonts w:ascii="Verdana" w:hAnsi="Verdana"/>
                <w:color w:val="000000"/>
                <w:sz w:val="18"/>
                <w:szCs w:val="18"/>
                <w:shd w:val="clear" w:color="auto" w:fill="FFFFFF"/>
              </w:rPr>
              <w:t> interpreted as an overbought/oversold indicator when the value is over 70/below 30</w:t>
            </w:r>
          </w:p>
          <w:p w:rsidR="006C623C" w:rsidRDefault="006C623C" w:rsidP="006C623C">
            <w:pPr>
              <w:pStyle w:val="ListParagraph"/>
              <w:numPr>
                <w:ilvl w:val="0"/>
                <w:numId w:val="1"/>
              </w:numPr>
            </w:pPr>
            <w:r>
              <w:rPr>
                <w:rFonts w:ascii="Verdana" w:hAnsi="Verdana"/>
                <w:color w:val="000000"/>
                <w:sz w:val="18"/>
                <w:szCs w:val="18"/>
                <w:shd w:val="clear" w:color="auto" w:fill="FFFFFF"/>
              </w:rPr>
              <w:t>If the price is making new highs/lows, and the RSI is not, it indicates a reversal.(can look for divergence in price)</w:t>
            </w:r>
          </w:p>
        </w:tc>
        <w:tc>
          <w:tcPr>
            <w:tcW w:w="3081" w:type="dxa"/>
          </w:tcPr>
          <w:p w:rsidR="00C854D5" w:rsidRDefault="006C623C"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800225" cy="2676525"/>
                  <wp:effectExtent l="0" t="0" r="9525" b="9525"/>
                  <wp:docPr id="6" name="Picture 6" descr="https://www.fmlabs.com/reference/R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mlabs.com/reference/RS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2676525"/>
                          </a:xfrm>
                          <a:prstGeom prst="rect">
                            <a:avLst/>
                          </a:prstGeom>
                          <a:noFill/>
                          <a:ln>
                            <a:noFill/>
                          </a:ln>
                        </pic:spPr>
                      </pic:pic>
                    </a:graphicData>
                  </a:graphic>
                </wp:inline>
              </w:drawing>
            </w:r>
          </w:p>
        </w:tc>
      </w:tr>
    </w:tbl>
    <w:p w:rsidR="00C854D5" w:rsidRDefault="00C854D5" w:rsidP="00976C87">
      <w:pPr>
        <w:ind w:firstLine="720"/>
      </w:pPr>
    </w:p>
    <w:tbl>
      <w:tblPr>
        <w:tblStyle w:val="TableGrid"/>
        <w:tblW w:w="0" w:type="auto"/>
        <w:tblLook w:val="04A0" w:firstRow="1" w:lastRow="0" w:firstColumn="1" w:lastColumn="0" w:noHBand="0" w:noVBand="1"/>
      </w:tblPr>
      <w:tblGrid>
        <w:gridCol w:w="2492"/>
        <w:gridCol w:w="2634"/>
        <w:gridCol w:w="4116"/>
      </w:tblGrid>
      <w:tr w:rsidR="00E618AA" w:rsidTr="00E618AA">
        <w:tc>
          <w:tcPr>
            <w:tcW w:w="3080" w:type="dxa"/>
          </w:tcPr>
          <w:p w:rsidR="00E618AA" w:rsidRDefault="00E618AA" w:rsidP="00976C87">
            <w:r>
              <w:rPr>
                <w:rFonts w:ascii="Verdana" w:hAnsi="Verdana"/>
                <w:b/>
                <w:bCs/>
                <w:color w:val="000000"/>
                <w:sz w:val="18"/>
                <w:szCs w:val="18"/>
              </w:rPr>
              <w:t>Bollinger Bands</w:t>
            </w:r>
          </w:p>
        </w:tc>
        <w:tc>
          <w:tcPr>
            <w:tcW w:w="3081" w:type="dxa"/>
          </w:tcPr>
          <w:p w:rsidR="00E618AA" w:rsidRPr="00E618AA" w:rsidRDefault="00E618AA" w:rsidP="00E618AA">
            <w:pPr>
              <w:pStyle w:val="ListParagraph"/>
              <w:numPr>
                <w:ilvl w:val="0"/>
                <w:numId w:val="1"/>
              </w:num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consist</w:t>
            </w:r>
            <w:proofErr w:type="gramEnd"/>
            <w:r>
              <w:rPr>
                <w:rFonts w:ascii="Verdana" w:hAnsi="Verdana"/>
                <w:color w:val="000000"/>
                <w:sz w:val="18"/>
                <w:szCs w:val="18"/>
                <w:shd w:val="clear" w:color="auto" w:fill="FFFFFF"/>
              </w:rPr>
              <w:t xml:space="preserve"> of three lines.</w:t>
            </w:r>
          </w:p>
          <w:p w:rsidR="00E618AA" w:rsidRPr="00E618AA" w:rsidRDefault="00E618AA" w:rsidP="00E618AA">
            <w:pPr>
              <w:pStyle w:val="ListParagraph"/>
              <w:numPr>
                <w:ilvl w:val="0"/>
                <w:numId w:val="1"/>
              </w:numPr>
            </w:pPr>
            <w:r>
              <w:rPr>
                <w:rFonts w:ascii="Verdana" w:hAnsi="Verdana"/>
                <w:color w:val="000000"/>
                <w:sz w:val="18"/>
                <w:szCs w:val="18"/>
                <w:shd w:val="clear" w:color="auto" w:fill="FFFFFF"/>
              </w:rPr>
              <w:t> a simple moving average (generally 20 periods) of the typical price (TP)</w:t>
            </w:r>
          </w:p>
          <w:p w:rsidR="00E618AA" w:rsidRPr="00E618AA" w:rsidRDefault="00E618AA" w:rsidP="00E618AA">
            <w:pPr>
              <w:pStyle w:val="ListParagraph"/>
              <w:numPr>
                <w:ilvl w:val="0"/>
                <w:numId w:val="1"/>
              </w:num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upper</w:t>
            </w:r>
            <w:proofErr w:type="gramEnd"/>
            <w:r>
              <w:rPr>
                <w:rFonts w:ascii="Verdana" w:hAnsi="Verdana"/>
                <w:color w:val="000000"/>
                <w:sz w:val="18"/>
                <w:szCs w:val="18"/>
                <w:shd w:val="clear" w:color="auto" w:fill="FFFFFF"/>
              </w:rPr>
              <w:t xml:space="preserve"> and lower bands are </w:t>
            </w:r>
            <w:r>
              <w:rPr>
                <w:rFonts w:ascii="Verdana" w:hAnsi="Verdana"/>
                <w:i/>
                <w:iCs/>
                <w:color w:val="000000"/>
                <w:sz w:val="18"/>
                <w:szCs w:val="18"/>
              </w:rPr>
              <w:t>F</w:t>
            </w:r>
            <w:r>
              <w:rPr>
                <w:rFonts w:ascii="Verdana" w:hAnsi="Verdana"/>
                <w:color w:val="000000"/>
                <w:sz w:val="18"/>
                <w:szCs w:val="18"/>
                <w:shd w:val="clear" w:color="auto" w:fill="FFFFFF"/>
              </w:rPr>
              <w:t> standard deviations (generally 2) above and below the middle band. The bands widen and narrow when the volatility of the price is higher or lower, respectively.</w:t>
            </w:r>
          </w:p>
          <w:p w:rsidR="00E618AA" w:rsidRDefault="00E618AA" w:rsidP="00E618AA">
            <w:pPr>
              <w:pStyle w:val="ListParagraph"/>
              <w:numPr>
                <w:ilvl w:val="0"/>
                <w:numId w:val="1"/>
              </w:numPr>
            </w:pPr>
            <w:proofErr w:type="gramStart"/>
            <w:r>
              <w:rPr>
                <w:rFonts w:ascii="Verdana" w:hAnsi="Verdana"/>
                <w:color w:val="000000"/>
                <w:sz w:val="18"/>
                <w:szCs w:val="18"/>
                <w:shd w:val="clear" w:color="auto" w:fill="FFFFFF"/>
              </w:rPr>
              <w:t>they</w:t>
            </w:r>
            <w:proofErr w:type="gramEnd"/>
            <w:r>
              <w:rPr>
                <w:rFonts w:ascii="Verdana" w:hAnsi="Verdana"/>
                <w:color w:val="000000"/>
                <w:sz w:val="18"/>
                <w:szCs w:val="18"/>
                <w:shd w:val="clear" w:color="auto" w:fill="FFFFFF"/>
              </w:rPr>
              <w:t xml:space="preserve"> are an indicator of overbought or oversold conditions. When the price is near the upper or lower band it indicates that a reversal may be imminent. The middle band becomes a support or resistance level. The upper and lower bands can also be interpreted as price targets. When the price bounces off of the lower band and crosses the middle band, then the upper band becomes the price target.</w:t>
            </w:r>
          </w:p>
        </w:tc>
        <w:tc>
          <w:tcPr>
            <w:tcW w:w="3081" w:type="dxa"/>
          </w:tcPr>
          <w:p w:rsidR="00E618AA" w:rsidRDefault="00E618AA" w:rsidP="00976C87">
            <w:r>
              <w:rPr>
                <w:rFonts w:ascii="Verdana" w:hAnsi="Verdana"/>
                <w:color w:val="000000"/>
                <w:sz w:val="18"/>
                <w:szCs w:val="18"/>
              </w:rPr>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2466975" cy="1047750"/>
                  <wp:effectExtent l="0" t="0" r="9525" b="0"/>
                  <wp:docPr id="7" name="Picture 7" descr="https://www.fmlabs.com/reference/Bollin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Bolling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047750"/>
                          </a:xfrm>
                          <a:prstGeom prst="rect">
                            <a:avLst/>
                          </a:prstGeom>
                          <a:noFill/>
                          <a:ln>
                            <a:noFill/>
                          </a:ln>
                        </pic:spPr>
                      </pic:pic>
                    </a:graphicData>
                  </a:graphic>
                </wp:inline>
              </w:drawing>
            </w:r>
          </w:p>
        </w:tc>
      </w:tr>
    </w:tbl>
    <w:p w:rsidR="00E618AA" w:rsidRDefault="00E618AA" w:rsidP="00976C87">
      <w:pPr>
        <w:ind w:firstLine="720"/>
      </w:pPr>
    </w:p>
    <w:tbl>
      <w:tblPr>
        <w:tblStyle w:val="TableGrid"/>
        <w:tblW w:w="0" w:type="auto"/>
        <w:tblLook w:val="04A0" w:firstRow="1" w:lastRow="0" w:firstColumn="1" w:lastColumn="0" w:noHBand="0" w:noVBand="1"/>
      </w:tblPr>
      <w:tblGrid>
        <w:gridCol w:w="2562"/>
        <w:gridCol w:w="2804"/>
        <w:gridCol w:w="3876"/>
      </w:tblGrid>
      <w:tr w:rsidR="00E618AA" w:rsidTr="00E618AA">
        <w:tc>
          <w:tcPr>
            <w:tcW w:w="3080" w:type="dxa"/>
          </w:tcPr>
          <w:p w:rsidR="00E618AA" w:rsidRDefault="00E618AA" w:rsidP="00976C87">
            <w:r>
              <w:rPr>
                <w:rFonts w:ascii="Verdana" w:hAnsi="Verdana"/>
                <w:b/>
                <w:bCs/>
                <w:color w:val="000000"/>
                <w:sz w:val="18"/>
                <w:szCs w:val="18"/>
              </w:rPr>
              <w:lastRenderedPageBreak/>
              <w:t>Stochastic Momentum Index (SMI)</w:t>
            </w:r>
          </w:p>
        </w:tc>
        <w:tc>
          <w:tcPr>
            <w:tcW w:w="3081" w:type="dxa"/>
          </w:tcPr>
          <w:p w:rsidR="00E618AA" w:rsidRPr="00E618AA" w:rsidRDefault="00E618AA" w:rsidP="00E618AA">
            <w:pPr>
              <w:pStyle w:val="ListParagraph"/>
              <w:numPr>
                <w:ilvl w:val="0"/>
                <w:numId w:val="1"/>
              </w:numPr>
            </w:pPr>
            <w:r>
              <w:rPr>
                <w:rFonts w:ascii="Verdana" w:hAnsi="Verdana"/>
                <w:color w:val="000000"/>
                <w:sz w:val="18"/>
                <w:szCs w:val="18"/>
                <w:shd w:val="clear" w:color="auto" w:fill="FFFFFF"/>
              </w:rPr>
              <w:t xml:space="preserve">The difference is that the Stochastic Oscillator calculates where the close is relative to the high/low range, while the SMI calculates where the close is relative to the midpoint of the high/low range. The values of the SMI range from +100 to -100. When the close is greater than the midpoint, the SMI is above zero, when the close is less than </w:t>
            </w:r>
            <w:proofErr w:type="spellStart"/>
            <w:r>
              <w:rPr>
                <w:rFonts w:ascii="Verdana" w:hAnsi="Verdana"/>
                <w:color w:val="000000"/>
                <w:sz w:val="18"/>
                <w:szCs w:val="18"/>
                <w:shd w:val="clear" w:color="auto" w:fill="FFFFFF"/>
              </w:rPr>
              <w:t>than</w:t>
            </w:r>
            <w:proofErr w:type="spellEnd"/>
            <w:r>
              <w:rPr>
                <w:rFonts w:ascii="Verdana" w:hAnsi="Verdana"/>
                <w:color w:val="000000"/>
                <w:sz w:val="18"/>
                <w:szCs w:val="18"/>
                <w:shd w:val="clear" w:color="auto" w:fill="FFFFFF"/>
              </w:rPr>
              <w:t xml:space="preserve"> the midpoint, the SMI is below zero. </w:t>
            </w:r>
          </w:p>
          <w:p w:rsidR="00E618AA" w:rsidRDefault="0014331A" w:rsidP="00E618AA">
            <w:pPr>
              <w:pStyle w:val="ListParagraph"/>
              <w:numPr>
                <w:ilvl w:val="0"/>
                <w:numId w:val="1"/>
              </w:numPr>
            </w:pPr>
            <w:proofErr w:type="gramStart"/>
            <w:r>
              <w:rPr>
                <w:rFonts w:ascii="Verdana" w:hAnsi="Verdana"/>
                <w:color w:val="000000"/>
                <w:sz w:val="18"/>
                <w:szCs w:val="18"/>
                <w:shd w:val="clear" w:color="auto" w:fill="FFFFFF"/>
              </w:rPr>
              <w:t>interpreted</w:t>
            </w:r>
            <w:proofErr w:type="gramEnd"/>
            <w:r>
              <w:rPr>
                <w:rFonts w:ascii="Verdana" w:hAnsi="Verdana"/>
                <w:color w:val="000000"/>
                <w:sz w:val="18"/>
                <w:szCs w:val="18"/>
                <w:shd w:val="clear" w:color="auto" w:fill="FFFFFF"/>
              </w:rPr>
              <w:t xml:space="preserve"> the same way as the Stochastic Oscillator. Extreme high/low SMI values indicate overbought/oversold conditions. A buy signal is generated when the SMI rises above -50, or when it crosses above the signal line. A sell signal is generated when the SMI falls below +50, or when it crosses below the signal line. Also look for divergence with the price to signal the end of a trend or indicate a false trend.</w:t>
            </w:r>
          </w:p>
        </w:tc>
        <w:tc>
          <w:tcPr>
            <w:tcW w:w="3081" w:type="dxa"/>
          </w:tcPr>
          <w:p w:rsidR="00E618AA" w:rsidRDefault="0014331A" w:rsidP="00976C87">
            <w:r>
              <w:rPr>
                <w:rFonts w:ascii="Verdana" w:hAnsi="Verdana"/>
                <w:color w:val="000000"/>
                <w:sz w:val="18"/>
                <w:szCs w:val="18"/>
              </w:rPr>
              <w:br/>
            </w:r>
            <w:r>
              <w:rPr>
                <w:noProof/>
                <w:lang w:eastAsia="en-IN"/>
              </w:rPr>
              <mc:AlternateContent>
                <mc:Choice Requires="wps">
                  <w:drawing>
                    <wp:inline distT="0" distB="0" distL="0" distR="0">
                      <wp:extent cx="304800" cy="304800"/>
                      <wp:effectExtent l="0" t="0" r="0" b="0"/>
                      <wp:docPr id="8" name="Rectangle 8" descr="https://www.fmlabs.com/reference/SM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www.fmlabs.com/reference/SM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7mFX3SAgAA6AUAAA4AAAAAAAAAAAAAAAAALgIAAGRycy9lMm9Eb2MueG1s&#10;UEsBAi0AFAAGAAgAAAAhAEyg6SzYAAAAAwEAAA8AAAAAAAAAAAAAAAAALAUAAGRycy9kb3ducmV2&#10;LnhtbFBLBQYAAAAABAAEAPMAAAAxBgAAAAA=&#10;" filled="f" stroked="f">
                      <o:lock v:ext="edit" aspectratio="t"/>
                      <w10:anchorlock/>
                    </v:rect>
                  </w:pict>
                </mc:Fallback>
              </mc:AlternateContent>
            </w:r>
            <w:r w:rsidR="00B4269C">
              <w:rPr>
                <w:rFonts w:ascii="Verdana" w:hAnsi="Verdana"/>
                <w:color w:val="000000"/>
                <w:sz w:val="18"/>
                <w:szCs w:val="18"/>
                <w:shd w:val="clear" w:color="auto" w:fill="FFFFFF"/>
              </w:rPr>
              <w:t>Formula:</w:t>
            </w:r>
            <w:r w:rsidR="00B4269C">
              <w:rPr>
                <w:rFonts w:ascii="Verdana" w:hAnsi="Verdana"/>
                <w:color w:val="000000"/>
                <w:sz w:val="18"/>
                <w:szCs w:val="18"/>
              </w:rPr>
              <w:br/>
            </w:r>
            <w:r w:rsidR="00B4269C">
              <w:rPr>
                <w:noProof/>
                <w:lang w:eastAsia="en-IN"/>
              </w:rPr>
              <w:drawing>
                <wp:inline distT="0" distB="0" distL="0" distR="0">
                  <wp:extent cx="2324100" cy="1800225"/>
                  <wp:effectExtent l="0" t="0" r="0" b="9525"/>
                  <wp:docPr id="11" name="Picture 11" descr="https://www.fmlabs.com/reference/S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mlabs.com/reference/SMI.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800225"/>
                          </a:xfrm>
                          <a:prstGeom prst="rect">
                            <a:avLst/>
                          </a:prstGeom>
                          <a:noFill/>
                          <a:ln>
                            <a:noFill/>
                          </a:ln>
                        </pic:spPr>
                      </pic:pic>
                    </a:graphicData>
                  </a:graphic>
                </wp:inline>
              </w:drawing>
            </w:r>
          </w:p>
        </w:tc>
      </w:tr>
    </w:tbl>
    <w:p w:rsidR="00E618AA" w:rsidRDefault="00E618AA" w:rsidP="00976C87">
      <w:pPr>
        <w:ind w:firstLine="720"/>
      </w:pPr>
    </w:p>
    <w:tbl>
      <w:tblPr>
        <w:tblStyle w:val="TableGrid"/>
        <w:tblW w:w="0" w:type="auto"/>
        <w:tblLook w:val="04A0" w:firstRow="1" w:lastRow="0" w:firstColumn="1" w:lastColumn="0" w:noHBand="0" w:noVBand="1"/>
      </w:tblPr>
      <w:tblGrid>
        <w:gridCol w:w="1091"/>
        <w:gridCol w:w="1080"/>
        <w:gridCol w:w="2062"/>
        <w:gridCol w:w="5009"/>
      </w:tblGrid>
      <w:tr w:rsidR="005E1844" w:rsidTr="005E1844">
        <w:tc>
          <w:tcPr>
            <w:tcW w:w="2310" w:type="dxa"/>
          </w:tcPr>
          <w:p w:rsidR="005E1844" w:rsidRDefault="005E1844" w:rsidP="00976C87">
            <w:r>
              <w:rPr>
                <w:rFonts w:ascii="Verdana" w:hAnsi="Verdana"/>
                <w:b/>
                <w:bCs/>
                <w:color w:val="000000"/>
                <w:sz w:val="18"/>
                <w:szCs w:val="18"/>
              </w:rPr>
              <w:t>Stochastic Oscillator</w:t>
            </w:r>
          </w:p>
        </w:tc>
        <w:tc>
          <w:tcPr>
            <w:tcW w:w="2310" w:type="dxa"/>
          </w:tcPr>
          <w:p w:rsidR="005E1844" w:rsidRDefault="005E1844" w:rsidP="00976C87">
            <w:proofErr w:type="gramStart"/>
            <w:r>
              <w:rPr>
                <w:rFonts w:ascii="Verdana" w:hAnsi="Verdana"/>
                <w:color w:val="000000"/>
                <w:sz w:val="18"/>
                <w:szCs w:val="18"/>
                <w:shd w:val="clear" w:color="auto" w:fill="FFFFFF"/>
              </w:rPr>
              <w:t>measures</w:t>
            </w:r>
            <w:proofErr w:type="gramEnd"/>
            <w:r>
              <w:rPr>
                <w:rFonts w:ascii="Verdana" w:hAnsi="Verdana"/>
                <w:color w:val="000000"/>
                <w:sz w:val="18"/>
                <w:szCs w:val="18"/>
                <w:shd w:val="clear" w:color="auto" w:fill="FFFFFF"/>
              </w:rPr>
              <w:t xml:space="preserve"> where the close is in relation to the recent trading range. The values range from zero to 100. %D values over 75 indicate an overbought </w:t>
            </w:r>
            <w:r>
              <w:rPr>
                <w:rFonts w:ascii="Verdana" w:hAnsi="Verdana"/>
                <w:color w:val="000000"/>
                <w:sz w:val="18"/>
                <w:szCs w:val="18"/>
                <w:shd w:val="clear" w:color="auto" w:fill="FFFFFF"/>
              </w:rPr>
              <w:lastRenderedPageBreak/>
              <w:t>condition; values under 25 indicate an oversold condition. When the Fast %D crosses above the Slow %D, it is a buy signal; when it crosses below, it is a sell signal. The Raw %K is generally considered too erratic to use for crossover signals.</w:t>
            </w:r>
          </w:p>
        </w:tc>
        <w:tc>
          <w:tcPr>
            <w:tcW w:w="2311" w:type="dxa"/>
          </w:tcPr>
          <w:p w:rsidR="005E1844" w:rsidRPr="005E1844" w:rsidRDefault="005E1844" w:rsidP="005E1844">
            <w:pPr>
              <w:rPr>
                <w:rFonts w:ascii="Times New Roman" w:eastAsia="Times New Roman" w:hAnsi="Times New Roman" w:cs="Times New Roman"/>
                <w:sz w:val="24"/>
                <w:szCs w:val="24"/>
                <w:lang w:eastAsia="en-IN"/>
              </w:rPr>
            </w:pPr>
            <w:r w:rsidRPr="005E1844">
              <w:rPr>
                <w:rFonts w:ascii="Verdana" w:eastAsia="Times New Roman" w:hAnsi="Verdana" w:cs="Times New Roman"/>
                <w:color w:val="000000"/>
                <w:sz w:val="18"/>
                <w:szCs w:val="18"/>
                <w:shd w:val="clear" w:color="auto" w:fill="FFFFFF"/>
                <w:lang w:eastAsia="en-IN"/>
              </w:rPr>
              <w:lastRenderedPageBreak/>
              <w:t>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890"/>
            </w:tblGrid>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Fast Stochastic  </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Refers to both %K and %D where %K is un-smoothed</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Slow Stochastic  </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Refers to both %K and %D where %K is smoothed</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Raw %K</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Un-smoothed %K</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lastRenderedPageBreak/>
                    <w:t>Fast %K</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Un-smoothed %K</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Slow %K</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Smoothed %K</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Fast %D</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Moving average of an un-smoothed %K</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Slow %D</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Moving average of a smoothed %K, in effect: a double smoothed %K</w:t>
                  </w:r>
                </w:p>
              </w:tc>
            </w:tr>
            <w:tr w:rsidR="005E1844" w:rsidRPr="005E1844" w:rsidTr="005E1844">
              <w:trPr>
                <w:tblCellSpacing w:w="15" w:type="dxa"/>
              </w:trPr>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%D</w:t>
                  </w:r>
                </w:p>
              </w:tc>
              <w:tc>
                <w:tcPr>
                  <w:tcW w:w="0" w:type="auto"/>
                  <w:vAlign w:val="center"/>
                  <w:hideMark/>
                </w:tcPr>
                <w:p w:rsidR="005E1844" w:rsidRPr="005E1844" w:rsidRDefault="005E1844" w:rsidP="005E1844">
                  <w:pPr>
                    <w:spacing w:after="0" w:line="240" w:lineRule="auto"/>
                    <w:rPr>
                      <w:rFonts w:ascii="Verdana" w:eastAsia="Times New Roman" w:hAnsi="Verdana" w:cs="Times New Roman"/>
                      <w:sz w:val="18"/>
                      <w:szCs w:val="18"/>
                      <w:lang w:eastAsia="en-IN"/>
                    </w:rPr>
                  </w:pPr>
                  <w:r w:rsidRPr="005E1844">
                    <w:rPr>
                      <w:rFonts w:ascii="Verdana" w:eastAsia="Times New Roman" w:hAnsi="Verdana" w:cs="Times New Roman"/>
                      <w:sz w:val="18"/>
                      <w:szCs w:val="18"/>
                      <w:lang w:eastAsia="en-IN"/>
                    </w:rPr>
                    <w:t>Always refers to a smoothed %K (whether or not the %K itself is smoothed)</w:t>
                  </w:r>
                </w:p>
              </w:tc>
            </w:tr>
          </w:tbl>
          <w:p w:rsidR="005E1844" w:rsidRDefault="005E1844" w:rsidP="00976C87"/>
        </w:tc>
        <w:tc>
          <w:tcPr>
            <w:tcW w:w="2311" w:type="dxa"/>
          </w:tcPr>
          <w:p w:rsidR="005E1844" w:rsidRDefault="00B4269C"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drawing>
                <wp:inline distT="0" distB="0" distL="0" distR="0">
                  <wp:extent cx="3629025" cy="714375"/>
                  <wp:effectExtent l="0" t="0" r="9525" b="9525"/>
                  <wp:docPr id="12" name="Picture 12" descr="https://www.fmlabs.com/reference/StochasticOscil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mlabs.com/reference/StochasticOscillato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714375"/>
                          </a:xfrm>
                          <a:prstGeom prst="rect">
                            <a:avLst/>
                          </a:prstGeom>
                          <a:noFill/>
                          <a:ln>
                            <a:noFill/>
                          </a:ln>
                        </pic:spPr>
                      </pic:pic>
                    </a:graphicData>
                  </a:graphic>
                </wp:inline>
              </w:drawing>
            </w:r>
          </w:p>
        </w:tc>
      </w:tr>
    </w:tbl>
    <w:p w:rsidR="005E1844" w:rsidRDefault="005E1844" w:rsidP="00976C87">
      <w:pPr>
        <w:ind w:firstLine="720"/>
      </w:pPr>
    </w:p>
    <w:tbl>
      <w:tblPr>
        <w:tblStyle w:val="TableGrid"/>
        <w:tblW w:w="0" w:type="auto"/>
        <w:tblLook w:val="04A0" w:firstRow="1" w:lastRow="0" w:firstColumn="1" w:lastColumn="0" w:noHBand="0" w:noVBand="1"/>
      </w:tblPr>
      <w:tblGrid>
        <w:gridCol w:w="2652"/>
        <w:gridCol w:w="2984"/>
        <w:gridCol w:w="3606"/>
      </w:tblGrid>
      <w:tr w:rsidR="00A666A7" w:rsidTr="00A666A7">
        <w:tc>
          <w:tcPr>
            <w:tcW w:w="3080" w:type="dxa"/>
          </w:tcPr>
          <w:p w:rsidR="00A666A7" w:rsidRDefault="00A666A7" w:rsidP="00976C87">
            <w:r>
              <w:rPr>
                <w:rFonts w:ascii="Verdana" w:hAnsi="Verdana"/>
                <w:b/>
                <w:bCs/>
                <w:color w:val="000000"/>
                <w:sz w:val="18"/>
                <w:szCs w:val="18"/>
              </w:rPr>
              <w:t>Stochastic RSI</w:t>
            </w:r>
          </w:p>
        </w:tc>
        <w:tc>
          <w:tcPr>
            <w:tcW w:w="3081" w:type="dxa"/>
          </w:tcPr>
          <w:p w:rsidR="00A666A7" w:rsidRPr="00A666A7" w:rsidRDefault="00A666A7" w:rsidP="00A666A7">
            <w:pPr>
              <w:pStyle w:val="ListParagraph"/>
              <w:numPr>
                <w:ilvl w:val="0"/>
                <w:numId w:val="1"/>
              </w:numPr>
            </w:pPr>
            <w:r>
              <w:rPr>
                <w:rFonts w:ascii="Verdana" w:hAnsi="Verdana"/>
                <w:color w:val="000000"/>
                <w:sz w:val="18"/>
                <w:szCs w:val="18"/>
                <w:shd w:val="clear" w:color="auto" w:fill="FFFFFF"/>
              </w:rPr>
              <w:t xml:space="preserve">It calculates the RSI relative to its range in order to increase the sensitivity of the standard RSI. The values of the </w:t>
            </w:r>
            <w:proofErr w:type="spellStart"/>
            <w:r>
              <w:rPr>
                <w:rFonts w:ascii="Verdana" w:hAnsi="Verdana"/>
                <w:color w:val="000000"/>
                <w:sz w:val="18"/>
                <w:szCs w:val="18"/>
                <w:shd w:val="clear" w:color="auto" w:fill="FFFFFF"/>
              </w:rPr>
              <w:t>StochRSI</w:t>
            </w:r>
            <w:proofErr w:type="spellEnd"/>
            <w:r>
              <w:rPr>
                <w:rFonts w:ascii="Verdana" w:hAnsi="Verdana"/>
                <w:color w:val="000000"/>
                <w:sz w:val="18"/>
                <w:szCs w:val="18"/>
                <w:shd w:val="clear" w:color="auto" w:fill="FFFFFF"/>
              </w:rPr>
              <w:t xml:space="preserve"> are from zero to one. </w:t>
            </w:r>
          </w:p>
          <w:p w:rsidR="00A666A7" w:rsidRDefault="00A666A7" w:rsidP="00A666A7">
            <w:pPr>
              <w:pStyle w:val="ListParagraph"/>
              <w:numPr>
                <w:ilvl w:val="0"/>
                <w:numId w:val="1"/>
              </w:numPr>
            </w:pPr>
            <w:r>
              <w:rPr>
                <w:rFonts w:ascii="Verdana" w:hAnsi="Verdana"/>
                <w:color w:val="000000"/>
                <w:sz w:val="18"/>
                <w:szCs w:val="18"/>
                <w:shd w:val="clear" w:color="auto" w:fill="FFFFFF"/>
              </w:rPr>
              <w:t xml:space="preserve"> Overbought/oversold conditions are indicated when the </w:t>
            </w:r>
            <w:proofErr w:type="spellStart"/>
            <w:r>
              <w:rPr>
                <w:rFonts w:ascii="Verdana" w:hAnsi="Verdana"/>
                <w:color w:val="000000"/>
                <w:sz w:val="18"/>
                <w:szCs w:val="18"/>
                <w:shd w:val="clear" w:color="auto" w:fill="FFFFFF"/>
              </w:rPr>
              <w:t>StochRSI</w:t>
            </w:r>
            <w:proofErr w:type="spellEnd"/>
            <w:r>
              <w:rPr>
                <w:rFonts w:ascii="Verdana" w:hAnsi="Verdana"/>
                <w:color w:val="000000"/>
                <w:sz w:val="18"/>
                <w:szCs w:val="18"/>
                <w:shd w:val="clear" w:color="auto" w:fill="FFFFFF"/>
              </w:rPr>
              <w:t xml:space="preserve"> crosses above .20 / below .80. A buy signal is generated when the </w:t>
            </w:r>
            <w:proofErr w:type="spellStart"/>
            <w:r>
              <w:rPr>
                <w:rFonts w:ascii="Verdana" w:hAnsi="Verdana"/>
                <w:color w:val="000000"/>
                <w:sz w:val="18"/>
                <w:szCs w:val="18"/>
                <w:shd w:val="clear" w:color="auto" w:fill="FFFFFF"/>
              </w:rPr>
              <w:t>StochRSI</w:t>
            </w:r>
            <w:proofErr w:type="spellEnd"/>
            <w:r>
              <w:rPr>
                <w:rFonts w:ascii="Verdana" w:hAnsi="Verdana"/>
                <w:color w:val="000000"/>
                <w:sz w:val="18"/>
                <w:szCs w:val="18"/>
                <w:shd w:val="clear" w:color="auto" w:fill="FFFFFF"/>
              </w:rPr>
              <w:t xml:space="preserve"> moves from oversold to above the midpoint (.50). A sell signal is generated when the </w:t>
            </w:r>
            <w:proofErr w:type="spellStart"/>
            <w:r>
              <w:rPr>
                <w:rFonts w:ascii="Verdana" w:hAnsi="Verdana"/>
                <w:color w:val="000000"/>
                <w:sz w:val="18"/>
                <w:szCs w:val="18"/>
                <w:shd w:val="clear" w:color="auto" w:fill="FFFFFF"/>
              </w:rPr>
              <w:t>StochRSI</w:t>
            </w:r>
            <w:proofErr w:type="spellEnd"/>
            <w:r>
              <w:rPr>
                <w:rFonts w:ascii="Verdana" w:hAnsi="Verdana"/>
                <w:color w:val="000000"/>
                <w:sz w:val="18"/>
                <w:szCs w:val="18"/>
                <w:shd w:val="clear" w:color="auto" w:fill="FFFFFF"/>
              </w:rPr>
              <w:t xml:space="preserve"> moves from overbought to below the midpoint. Also look for divergence with the price to indicate the end of a trend.</w:t>
            </w:r>
          </w:p>
        </w:tc>
        <w:tc>
          <w:tcPr>
            <w:tcW w:w="3081" w:type="dxa"/>
          </w:tcPr>
          <w:p w:rsidR="00A666A7" w:rsidRDefault="00A666A7"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2152650" cy="209550"/>
                  <wp:effectExtent l="0" t="0" r="0" b="0"/>
                  <wp:docPr id="10" name="Picture 10" descr="https://www.fmlabs.com/reference/StochR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mlabs.com/reference/StochRSI.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209550"/>
                          </a:xfrm>
                          <a:prstGeom prst="rect">
                            <a:avLst/>
                          </a:prstGeom>
                          <a:noFill/>
                          <a:ln>
                            <a:noFill/>
                          </a:ln>
                        </pic:spPr>
                      </pic:pic>
                    </a:graphicData>
                  </a:graphic>
                </wp:inline>
              </w:drawing>
            </w:r>
          </w:p>
        </w:tc>
      </w:tr>
    </w:tbl>
    <w:p w:rsidR="00947F40" w:rsidRDefault="00947F40" w:rsidP="00976C87">
      <w:pPr>
        <w:ind w:firstLine="720"/>
      </w:pPr>
    </w:p>
    <w:tbl>
      <w:tblPr>
        <w:tblStyle w:val="TableGrid"/>
        <w:tblW w:w="0" w:type="auto"/>
        <w:tblLook w:val="04A0" w:firstRow="1" w:lastRow="0" w:firstColumn="1" w:lastColumn="0" w:noHBand="0" w:noVBand="1"/>
      </w:tblPr>
      <w:tblGrid>
        <w:gridCol w:w="703"/>
        <w:gridCol w:w="1172"/>
        <w:gridCol w:w="7367"/>
      </w:tblGrid>
      <w:tr w:rsidR="00A666A7" w:rsidTr="00A666A7">
        <w:tc>
          <w:tcPr>
            <w:tcW w:w="3080" w:type="dxa"/>
          </w:tcPr>
          <w:p w:rsidR="00A666A7" w:rsidRDefault="00A666A7" w:rsidP="00976C87">
            <w:r>
              <w:rPr>
                <w:rFonts w:ascii="Verdana" w:hAnsi="Verdana"/>
                <w:b/>
                <w:bCs/>
                <w:color w:val="000000"/>
                <w:sz w:val="18"/>
                <w:szCs w:val="18"/>
              </w:rPr>
              <w:t>Swing Inde</w:t>
            </w:r>
            <w:r>
              <w:rPr>
                <w:rFonts w:ascii="Verdana" w:hAnsi="Verdana"/>
                <w:b/>
                <w:bCs/>
                <w:color w:val="000000"/>
                <w:sz w:val="18"/>
                <w:szCs w:val="18"/>
              </w:rPr>
              <w:lastRenderedPageBreak/>
              <w:t>x</w:t>
            </w:r>
          </w:p>
        </w:tc>
        <w:tc>
          <w:tcPr>
            <w:tcW w:w="3081" w:type="dxa"/>
          </w:tcPr>
          <w:p w:rsidR="00A666A7" w:rsidRDefault="00A666A7" w:rsidP="00976C87">
            <w:r>
              <w:rPr>
                <w:rFonts w:ascii="Verdana" w:hAnsi="Verdana"/>
                <w:color w:val="000000"/>
                <w:sz w:val="18"/>
                <w:szCs w:val="18"/>
                <w:shd w:val="clear" w:color="auto" w:fill="FFFFFF"/>
              </w:rPr>
              <w:lastRenderedPageBreak/>
              <w:t xml:space="preserve">Swing Index attempts </w:t>
            </w:r>
            <w:r>
              <w:rPr>
                <w:rFonts w:ascii="Verdana" w:hAnsi="Verdana"/>
                <w:color w:val="000000"/>
                <w:sz w:val="18"/>
                <w:szCs w:val="18"/>
                <w:shd w:val="clear" w:color="auto" w:fill="FFFFFF"/>
              </w:rPr>
              <w:lastRenderedPageBreak/>
              <w:t>to determine the real price. The numbers range from -100 to +100. It is difficult to interpret in its raw form, and is usually summed to form the Accumulation Swing Index.</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It is important to use the correct limit move for the commodity you are </w:t>
            </w:r>
            <w:proofErr w:type="spellStart"/>
            <w:r>
              <w:rPr>
                <w:rFonts w:ascii="Verdana" w:hAnsi="Verdana"/>
                <w:color w:val="000000"/>
                <w:sz w:val="18"/>
                <w:szCs w:val="18"/>
                <w:shd w:val="clear" w:color="auto" w:fill="FFFFFF"/>
              </w:rPr>
              <w:t>analyzing</w:t>
            </w:r>
            <w:proofErr w:type="spellEnd"/>
            <w:r>
              <w:rPr>
                <w:rFonts w:ascii="Verdana" w:hAnsi="Verdana"/>
                <w:color w:val="000000"/>
                <w:sz w:val="18"/>
                <w:szCs w:val="18"/>
                <w:shd w:val="clear" w:color="auto" w:fill="FFFFFF"/>
              </w:rPr>
              <w:t xml:space="preserve"> (e.g. $3.00 for T-Bonds, $0.04 for Heating Oil,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For a stock, limit move should be a large number, such as $10,000</w:t>
            </w:r>
          </w:p>
        </w:tc>
        <w:tc>
          <w:tcPr>
            <w:tcW w:w="3081" w:type="dxa"/>
          </w:tcPr>
          <w:p w:rsidR="00A666A7" w:rsidRDefault="00A666A7"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lastRenderedPageBreak/>
              <w:drawing>
                <wp:inline distT="0" distB="0" distL="0" distR="0">
                  <wp:extent cx="5772150" cy="2705100"/>
                  <wp:effectExtent l="0" t="0" r="0" b="0"/>
                  <wp:docPr id="9" name="Picture 9" descr="https://www.fmlabs.com/reference/Swing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SwingIndex.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2705100"/>
                          </a:xfrm>
                          <a:prstGeom prst="rect">
                            <a:avLst/>
                          </a:prstGeom>
                          <a:noFill/>
                          <a:ln>
                            <a:noFill/>
                          </a:ln>
                        </pic:spPr>
                      </pic:pic>
                    </a:graphicData>
                  </a:graphic>
                </wp:inline>
              </w:drawing>
            </w:r>
          </w:p>
        </w:tc>
      </w:tr>
    </w:tbl>
    <w:p w:rsidR="00A666A7" w:rsidRDefault="00A666A7" w:rsidP="00976C87">
      <w:pPr>
        <w:ind w:firstLine="720"/>
      </w:pPr>
    </w:p>
    <w:tbl>
      <w:tblPr>
        <w:tblStyle w:val="TableGrid"/>
        <w:tblW w:w="0" w:type="auto"/>
        <w:tblLook w:val="04A0" w:firstRow="1" w:lastRow="0" w:firstColumn="1" w:lastColumn="0" w:noHBand="0" w:noVBand="1"/>
      </w:tblPr>
      <w:tblGrid>
        <w:gridCol w:w="3048"/>
        <w:gridCol w:w="3064"/>
        <w:gridCol w:w="3130"/>
      </w:tblGrid>
      <w:tr w:rsidR="00B4269C" w:rsidTr="00B4269C">
        <w:tc>
          <w:tcPr>
            <w:tcW w:w="3080" w:type="dxa"/>
          </w:tcPr>
          <w:p w:rsidR="00B4269C" w:rsidRDefault="00B4269C" w:rsidP="00976C87">
            <w:r>
              <w:rPr>
                <w:rFonts w:ascii="Verdana" w:hAnsi="Verdana"/>
                <w:b/>
                <w:bCs/>
                <w:color w:val="000000"/>
                <w:sz w:val="18"/>
                <w:szCs w:val="18"/>
              </w:rPr>
              <w:t>Relative Momentum Index (RMI)</w:t>
            </w:r>
          </w:p>
        </w:tc>
        <w:tc>
          <w:tcPr>
            <w:tcW w:w="3081" w:type="dxa"/>
          </w:tcPr>
          <w:p w:rsidR="00B4269C" w:rsidRDefault="00B4269C" w:rsidP="00B4269C">
            <w:pPr>
              <w:pStyle w:val="ListParagraph"/>
              <w:numPr>
                <w:ilvl w:val="0"/>
                <w:numId w:val="1"/>
              </w:numPr>
            </w:pPr>
            <w:r w:rsidRPr="00B4269C">
              <w:rPr>
                <w:rFonts w:ascii="Verdana" w:hAnsi="Verdana"/>
                <w:color w:val="000000"/>
                <w:sz w:val="18"/>
                <w:szCs w:val="18"/>
                <w:shd w:val="clear" w:color="auto" w:fill="FFFFFF"/>
              </w:rPr>
              <w:t>To determine up and down days, the RSI uses the close compared to the previous close. The RMI uses the close compared to the close </w:t>
            </w:r>
            <w:r w:rsidRPr="00B4269C">
              <w:rPr>
                <w:rFonts w:ascii="Verdana" w:hAnsi="Verdana"/>
                <w:i/>
                <w:iCs/>
                <w:color w:val="000000"/>
                <w:sz w:val="18"/>
                <w:szCs w:val="18"/>
              </w:rPr>
              <w:t>n</w:t>
            </w:r>
            <w:r w:rsidRPr="00B4269C">
              <w:rPr>
                <w:rFonts w:ascii="Verdana" w:hAnsi="Verdana"/>
                <w:color w:val="000000"/>
                <w:sz w:val="18"/>
                <w:szCs w:val="18"/>
                <w:shd w:val="clear" w:color="auto" w:fill="FFFFFF"/>
              </w:rPr>
              <w:t xml:space="preserve"> days ago. An RMI with a time period of 1 is equal to the RSI. The RMI ranges from 0 to 100. </w:t>
            </w:r>
            <w:proofErr w:type="spellStart"/>
            <w:r w:rsidRPr="00B4269C">
              <w:rPr>
                <w:rFonts w:ascii="Verdana" w:hAnsi="Verdana"/>
                <w:color w:val="000000"/>
                <w:sz w:val="18"/>
                <w:szCs w:val="18"/>
                <w:shd w:val="clear" w:color="auto" w:fill="FFFFFF"/>
              </w:rPr>
              <w:t>Loke</w:t>
            </w:r>
            <w:proofErr w:type="spellEnd"/>
            <w:r w:rsidRPr="00B4269C">
              <w:rPr>
                <w:rFonts w:ascii="Verdana" w:hAnsi="Verdana"/>
                <w:color w:val="000000"/>
                <w:sz w:val="18"/>
                <w:szCs w:val="18"/>
                <w:shd w:val="clear" w:color="auto" w:fill="FFFFFF"/>
              </w:rPr>
              <w:t xml:space="preserve"> the RSI, The RMI is interpreted as an overbought/oversold indicator when the value is over 70/below 30. You can also look for divergence with price. If the price is making new </w:t>
            </w:r>
            <w:r w:rsidRPr="00B4269C">
              <w:rPr>
                <w:rFonts w:ascii="Verdana" w:hAnsi="Verdana"/>
                <w:color w:val="000000"/>
                <w:sz w:val="18"/>
                <w:szCs w:val="18"/>
                <w:shd w:val="clear" w:color="auto" w:fill="FFFFFF"/>
              </w:rPr>
              <w:lastRenderedPageBreak/>
              <w:t>highs/lows, and the RMI is not, it indicates a reversal.</w:t>
            </w:r>
            <w:r w:rsidRPr="00B4269C">
              <w:rPr>
                <w:rFonts w:ascii="Verdana" w:hAnsi="Verdana"/>
                <w:color w:val="000000"/>
                <w:sz w:val="18"/>
                <w:szCs w:val="18"/>
              </w:rPr>
              <w:br/>
            </w:r>
            <w:r w:rsidRPr="00B4269C">
              <w:rPr>
                <w:rFonts w:ascii="Verdana" w:hAnsi="Verdana"/>
                <w:color w:val="000000"/>
                <w:sz w:val="18"/>
                <w:szCs w:val="18"/>
              </w:rPr>
              <w:br/>
            </w:r>
            <w:r w:rsidRPr="00B4269C">
              <w:rPr>
                <w:rFonts w:ascii="Verdana" w:hAnsi="Verdana"/>
                <w:color w:val="000000"/>
                <w:sz w:val="18"/>
                <w:szCs w:val="18"/>
                <w:shd w:val="clear" w:color="auto" w:fill="FFFFFF"/>
              </w:rPr>
              <w:t>See also Relative Strength Index.</w:t>
            </w:r>
          </w:p>
        </w:tc>
        <w:tc>
          <w:tcPr>
            <w:tcW w:w="3081" w:type="dxa"/>
          </w:tcPr>
          <w:p w:rsidR="00B4269C" w:rsidRDefault="00B4269C"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lastRenderedPageBreak/>
              <w:drawing>
                <wp:inline distT="0" distB="0" distL="0" distR="0">
                  <wp:extent cx="1800225" cy="2676525"/>
                  <wp:effectExtent l="0" t="0" r="9525" b="9525"/>
                  <wp:docPr id="13" name="Picture 13" descr="https://www.fmlabs.com/reference/R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mlabs.com/reference/RMI.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2676525"/>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B4269C" w:rsidRDefault="00B4269C" w:rsidP="00976C87">
      <w:pPr>
        <w:ind w:firstLine="720"/>
      </w:pPr>
    </w:p>
    <w:tbl>
      <w:tblPr>
        <w:tblStyle w:val="TableGrid"/>
        <w:tblW w:w="0" w:type="auto"/>
        <w:tblLook w:val="04A0" w:firstRow="1" w:lastRow="0" w:firstColumn="1" w:lastColumn="0" w:noHBand="0" w:noVBand="1"/>
      </w:tblPr>
      <w:tblGrid>
        <w:gridCol w:w="2902"/>
        <w:gridCol w:w="2910"/>
        <w:gridCol w:w="3430"/>
      </w:tblGrid>
      <w:tr w:rsidR="00B4269C" w:rsidTr="00B4269C">
        <w:tc>
          <w:tcPr>
            <w:tcW w:w="3080" w:type="dxa"/>
          </w:tcPr>
          <w:p w:rsidR="00B4269C" w:rsidRDefault="00B4269C" w:rsidP="00976C87">
            <w:r>
              <w:rPr>
                <w:rFonts w:ascii="Verdana" w:hAnsi="Verdana"/>
                <w:b/>
                <w:bCs/>
                <w:color w:val="000000"/>
                <w:sz w:val="18"/>
                <w:szCs w:val="18"/>
              </w:rPr>
              <w:t>Relative Volatility Index (RVI) - Original Calculation</w:t>
            </w:r>
          </w:p>
        </w:tc>
        <w:tc>
          <w:tcPr>
            <w:tcW w:w="3081" w:type="dxa"/>
          </w:tcPr>
          <w:p w:rsidR="00B4269C" w:rsidRPr="00B4269C" w:rsidRDefault="00B4269C" w:rsidP="00B4269C">
            <w:pPr>
              <w:pStyle w:val="ListParagraph"/>
              <w:numPr>
                <w:ilvl w:val="0"/>
                <w:numId w:val="1"/>
              </w:numPr>
            </w:pPr>
            <w:r>
              <w:rPr>
                <w:rFonts w:ascii="Verdana" w:hAnsi="Verdana"/>
                <w:color w:val="000000"/>
                <w:sz w:val="18"/>
                <w:szCs w:val="18"/>
                <w:shd w:val="clear" w:color="auto" w:fill="FFFFFF"/>
              </w:rPr>
              <w:t xml:space="preserve">RSI uses the average price </w:t>
            </w:r>
            <w:proofErr w:type="gramStart"/>
            <w:r>
              <w:rPr>
                <w:rFonts w:ascii="Verdana" w:hAnsi="Verdana"/>
                <w:color w:val="000000"/>
                <w:sz w:val="18"/>
                <w:szCs w:val="18"/>
                <w:shd w:val="clear" w:color="auto" w:fill="FFFFFF"/>
              </w:rPr>
              <w:t>change,</w:t>
            </w:r>
            <w:proofErr w:type="gramEnd"/>
            <w:r>
              <w:rPr>
                <w:rFonts w:ascii="Verdana" w:hAnsi="Verdana"/>
                <w:color w:val="000000"/>
                <w:sz w:val="18"/>
                <w:szCs w:val="18"/>
                <w:shd w:val="clear" w:color="auto" w:fill="FFFFFF"/>
              </w:rPr>
              <w:t xml:space="preserve"> the RVI uses a 9 period standard deviation of the price.</w:t>
            </w:r>
          </w:p>
          <w:p w:rsidR="00B4269C" w:rsidRPr="00B4269C" w:rsidRDefault="00B4269C" w:rsidP="00B4269C">
            <w:pPr>
              <w:pStyle w:val="ListParagraph"/>
              <w:numPr>
                <w:ilvl w:val="0"/>
                <w:numId w:val="1"/>
              </w:numPr>
            </w:pPr>
            <w:r>
              <w:rPr>
                <w:rFonts w:ascii="Verdana" w:hAnsi="Verdana"/>
                <w:color w:val="000000"/>
                <w:sz w:val="18"/>
                <w:szCs w:val="18"/>
                <w:shd w:val="clear" w:color="auto" w:fill="FFFFFF"/>
              </w:rPr>
              <w:t>The original version of the RVI is calculated using the closing price. The revised version is calculated by taking the average of the original RVI of the high and the original RVI of the low.</w:t>
            </w:r>
          </w:p>
          <w:p w:rsidR="00B4269C" w:rsidRDefault="00B4269C" w:rsidP="00B4269C">
            <w:pPr>
              <w:pStyle w:val="ListParagraph"/>
              <w:numPr>
                <w:ilvl w:val="0"/>
                <w:numId w:val="1"/>
              </w:numPr>
            </w:pPr>
            <w:r>
              <w:rPr>
                <w:rFonts w:ascii="Verdana" w:hAnsi="Verdana"/>
                <w:color w:val="000000"/>
                <w:sz w:val="18"/>
                <w:szCs w:val="18"/>
                <w:shd w:val="clear" w:color="auto" w:fill="FFFFFF"/>
              </w:rPr>
              <w:t xml:space="preserve">RVI is a volatility indicator. It was developed as a compliment to and a confirmation of momentum based indicators. When used to confirm other signals, only buy when the RVI is over 50 and only sell when the RVI is </w:t>
            </w:r>
            <w:proofErr w:type="gramStart"/>
            <w:r>
              <w:rPr>
                <w:rFonts w:ascii="Verdana" w:hAnsi="Verdana"/>
                <w:color w:val="000000"/>
                <w:sz w:val="18"/>
                <w:szCs w:val="18"/>
                <w:shd w:val="clear" w:color="auto" w:fill="FFFFFF"/>
              </w:rPr>
              <w:t>under</w:t>
            </w:r>
            <w:proofErr w:type="gramEnd"/>
            <w:r>
              <w:rPr>
                <w:rFonts w:ascii="Verdana" w:hAnsi="Verdana"/>
                <w:color w:val="000000"/>
                <w:sz w:val="18"/>
                <w:szCs w:val="18"/>
                <w:shd w:val="clear" w:color="auto" w:fill="FFFFFF"/>
              </w:rPr>
              <w:t xml:space="preserve"> 50. If a signal is ignored, buy when the RVI is over 60 and sell when the RVI is </w:t>
            </w:r>
            <w:proofErr w:type="gramStart"/>
            <w:r>
              <w:rPr>
                <w:rFonts w:ascii="Verdana" w:hAnsi="Verdana"/>
                <w:color w:val="000000"/>
                <w:sz w:val="18"/>
                <w:szCs w:val="18"/>
                <w:shd w:val="clear" w:color="auto" w:fill="FFFFFF"/>
              </w:rPr>
              <w:t>under</w:t>
            </w:r>
            <w:proofErr w:type="gramEnd"/>
            <w:r>
              <w:rPr>
                <w:rFonts w:ascii="Verdana" w:hAnsi="Verdana"/>
                <w:color w:val="000000"/>
                <w:sz w:val="18"/>
                <w:szCs w:val="18"/>
                <w:shd w:val="clear" w:color="auto" w:fill="FFFFFF"/>
              </w:rPr>
              <w:t xml:space="preserve"> 40. Exit a long position if the RVI drops below 40 and exit a short position when the RVI rises above 60.</w:t>
            </w:r>
          </w:p>
        </w:tc>
        <w:tc>
          <w:tcPr>
            <w:tcW w:w="3081" w:type="dxa"/>
          </w:tcPr>
          <w:p w:rsidR="00B4269C" w:rsidRDefault="00B4269C" w:rsidP="00976C87">
            <w:r>
              <w:rPr>
                <w:rFonts w:ascii="Verdana" w:hAnsi="Verdana"/>
                <w:color w:val="000000"/>
                <w:sz w:val="18"/>
                <w:szCs w:val="18"/>
              </w:rPr>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990725" cy="2676525"/>
                  <wp:effectExtent l="0" t="0" r="9525" b="9525"/>
                  <wp:docPr id="14" name="Picture 14" descr="https://www.fmlabs.com/reference/RVIorig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mlabs.com/reference/RVIorigina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725" cy="2676525"/>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B4269C" w:rsidRDefault="00B4269C" w:rsidP="00976C87">
      <w:pPr>
        <w:ind w:firstLine="720"/>
      </w:pPr>
    </w:p>
    <w:tbl>
      <w:tblPr>
        <w:tblStyle w:val="TableGrid"/>
        <w:tblW w:w="0" w:type="auto"/>
        <w:tblLook w:val="04A0" w:firstRow="1" w:lastRow="0" w:firstColumn="1" w:lastColumn="0" w:noHBand="0" w:noVBand="1"/>
      </w:tblPr>
      <w:tblGrid>
        <w:gridCol w:w="2655"/>
        <w:gridCol w:w="2651"/>
        <w:gridCol w:w="3936"/>
      </w:tblGrid>
      <w:tr w:rsidR="009B0D07" w:rsidTr="009B0D07">
        <w:tc>
          <w:tcPr>
            <w:tcW w:w="3080" w:type="dxa"/>
          </w:tcPr>
          <w:p w:rsidR="009B0D07" w:rsidRDefault="009B0D07" w:rsidP="00976C87">
            <w:r>
              <w:rPr>
                <w:rFonts w:ascii="Verdana" w:hAnsi="Verdana"/>
                <w:b/>
                <w:bCs/>
                <w:color w:val="000000"/>
                <w:sz w:val="18"/>
                <w:szCs w:val="18"/>
              </w:rPr>
              <w:t>Relative Volatility Index (RVI)</w:t>
            </w:r>
          </w:p>
        </w:tc>
        <w:tc>
          <w:tcPr>
            <w:tcW w:w="3081" w:type="dxa"/>
          </w:tcPr>
          <w:p w:rsidR="009B0D07" w:rsidRPr="009B0D07" w:rsidRDefault="009B0D07" w:rsidP="009B0D07">
            <w:pPr>
              <w:pStyle w:val="ListParagraph"/>
              <w:numPr>
                <w:ilvl w:val="0"/>
                <w:numId w:val="1"/>
              </w:numPr>
            </w:pPr>
            <w:r>
              <w:rPr>
                <w:rFonts w:ascii="Verdana" w:hAnsi="Verdana"/>
                <w:color w:val="000000"/>
                <w:sz w:val="18"/>
                <w:szCs w:val="18"/>
                <w:shd w:val="clear" w:color="auto" w:fill="FFFFFF"/>
              </w:rPr>
              <w:t xml:space="preserve">RSI uses the average price </w:t>
            </w:r>
            <w:proofErr w:type="gramStart"/>
            <w:r>
              <w:rPr>
                <w:rFonts w:ascii="Verdana" w:hAnsi="Verdana"/>
                <w:color w:val="000000"/>
                <w:sz w:val="18"/>
                <w:szCs w:val="18"/>
                <w:shd w:val="clear" w:color="auto" w:fill="FFFFFF"/>
              </w:rPr>
              <w:t>change,</w:t>
            </w:r>
            <w:proofErr w:type="gramEnd"/>
            <w:r>
              <w:rPr>
                <w:rFonts w:ascii="Verdana" w:hAnsi="Verdana"/>
                <w:color w:val="000000"/>
                <w:sz w:val="18"/>
                <w:szCs w:val="18"/>
                <w:shd w:val="clear" w:color="auto" w:fill="FFFFFF"/>
              </w:rPr>
              <w:t xml:space="preserve"> the RVI uses a 9 period standard deviation of the price. </w:t>
            </w:r>
          </w:p>
          <w:p w:rsidR="009B0D07" w:rsidRDefault="009B0D07" w:rsidP="009B0D07">
            <w:pPr>
              <w:pStyle w:val="ListParagraph"/>
              <w:numPr>
                <w:ilvl w:val="0"/>
                <w:numId w:val="1"/>
              </w:numPr>
            </w:pPr>
          </w:p>
        </w:tc>
        <w:tc>
          <w:tcPr>
            <w:tcW w:w="3081" w:type="dxa"/>
          </w:tcPr>
          <w:p w:rsidR="009B0D07" w:rsidRDefault="009B0D07"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lastRenderedPageBreak/>
              <w:drawing>
                <wp:inline distT="0" distB="0" distL="0" distR="0">
                  <wp:extent cx="2352675" cy="3095625"/>
                  <wp:effectExtent l="0" t="0" r="9525" b="9525"/>
                  <wp:docPr id="16" name="Picture 16" descr="https://www.fmlabs.com/reference/R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fmlabs.com/reference/RV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3095625"/>
                          </a:xfrm>
                          <a:prstGeom prst="rect">
                            <a:avLst/>
                          </a:prstGeom>
                          <a:noFill/>
                          <a:ln>
                            <a:noFill/>
                          </a:ln>
                        </pic:spPr>
                      </pic:pic>
                    </a:graphicData>
                  </a:graphic>
                </wp:inline>
              </w:drawing>
            </w:r>
          </w:p>
        </w:tc>
      </w:tr>
    </w:tbl>
    <w:p w:rsidR="00B4269C" w:rsidRDefault="00B4269C" w:rsidP="00976C87">
      <w:pPr>
        <w:ind w:firstLine="720"/>
      </w:pPr>
    </w:p>
    <w:tbl>
      <w:tblPr>
        <w:tblStyle w:val="TableGrid"/>
        <w:tblW w:w="0" w:type="auto"/>
        <w:tblLook w:val="04A0" w:firstRow="1" w:lastRow="0" w:firstColumn="1" w:lastColumn="0" w:noHBand="0" w:noVBand="1"/>
      </w:tblPr>
      <w:tblGrid>
        <w:gridCol w:w="2988"/>
        <w:gridCol w:w="2978"/>
        <w:gridCol w:w="3276"/>
      </w:tblGrid>
      <w:tr w:rsidR="002B6ABF" w:rsidTr="002B6ABF">
        <w:tc>
          <w:tcPr>
            <w:tcW w:w="3080" w:type="dxa"/>
          </w:tcPr>
          <w:p w:rsidR="002B6ABF" w:rsidRDefault="002B6ABF" w:rsidP="00976C87">
            <w:r>
              <w:rPr>
                <w:rFonts w:ascii="Verdana" w:hAnsi="Verdana"/>
                <w:b/>
                <w:bCs/>
                <w:color w:val="000000"/>
                <w:sz w:val="18"/>
                <w:szCs w:val="18"/>
              </w:rPr>
              <w:t>Average Directional Movement Index (ADX)</w:t>
            </w:r>
          </w:p>
        </w:tc>
        <w:tc>
          <w:tcPr>
            <w:tcW w:w="3081" w:type="dxa"/>
          </w:tcPr>
          <w:p w:rsidR="002B6ABF" w:rsidRPr="002B6ABF" w:rsidRDefault="002B6ABF" w:rsidP="002B6ABF">
            <w:pPr>
              <w:pStyle w:val="ListParagraph"/>
              <w:numPr>
                <w:ilvl w:val="0"/>
                <w:numId w:val="1"/>
              </w:numPr>
            </w:pPr>
            <w:r>
              <w:rPr>
                <w:rFonts w:ascii="Verdana" w:hAnsi="Verdana"/>
                <w:color w:val="000000"/>
                <w:sz w:val="18"/>
                <w:szCs w:val="18"/>
                <w:shd w:val="clear" w:color="auto" w:fill="FFFFFF"/>
              </w:rPr>
              <w:t> The values range from 0 to 100, but rarely get above 60</w:t>
            </w:r>
          </w:p>
          <w:p w:rsidR="002B6ABF" w:rsidRDefault="002B6ABF" w:rsidP="002B6ABF">
            <w:pPr>
              <w:pStyle w:val="ListParagraph"/>
              <w:numPr>
                <w:ilvl w:val="0"/>
                <w:numId w:val="1"/>
              </w:numPr>
            </w:pPr>
            <w:r>
              <w:rPr>
                <w:rFonts w:ascii="Verdana" w:hAnsi="Verdana"/>
                <w:color w:val="000000"/>
                <w:sz w:val="18"/>
                <w:szCs w:val="18"/>
                <w:shd w:val="clear" w:color="auto" w:fill="FFFFFF"/>
              </w:rPr>
              <w:t> To interpret the ADX, consider a high number to be a strong trend, and a low number, a weak trend.</w:t>
            </w:r>
          </w:p>
        </w:tc>
        <w:tc>
          <w:tcPr>
            <w:tcW w:w="3081" w:type="dxa"/>
          </w:tcPr>
          <w:p w:rsidR="002B6ABF" w:rsidRDefault="002B6ABF" w:rsidP="00976C87">
            <w:r>
              <w:rPr>
                <w:rFonts w:ascii="Verdana" w:hAnsi="Verdana"/>
                <w:color w:val="000000"/>
                <w:sz w:val="18"/>
                <w:szCs w:val="18"/>
              </w:rPr>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943100" cy="419100"/>
                  <wp:effectExtent l="0" t="0" r="0" b="0"/>
                  <wp:docPr id="15" name="Picture 15" descr="https://www.fmlabs.com/reference/AD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ADX.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tc>
      </w:tr>
    </w:tbl>
    <w:p w:rsidR="002B6ABF" w:rsidRDefault="002B6ABF" w:rsidP="00976C87">
      <w:pPr>
        <w:ind w:firstLine="720"/>
      </w:pPr>
    </w:p>
    <w:tbl>
      <w:tblPr>
        <w:tblStyle w:val="TableGrid"/>
        <w:tblW w:w="0" w:type="auto"/>
        <w:tblLook w:val="04A0" w:firstRow="1" w:lastRow="0" w:firstColumn="1" w:lastColumn="0" w:noHBand="0" w:noVBand="1"/>
      </w:tblPr>
      <w:tblGrid>
        <w:gridCol w:w="3080"/>
        <w:gridCol w:w="3081"/>
        <w:gridCol w:w="3081"/>
      </w:tblGrid>
      <w:tr w:rsidR="002B6ABF" w:rsidTr="002B6ABF">
        <w:tc>
          <w:tcPr>
            <w:tcW w:w="3080" w:type="dxa"/>
          </w:tcPr>
          <w:p w:rsidR="002B6ABF" w:rsidRDefault="002B6ABF" w:rsidP="00976C87">
            <w:r>
              <w:rPr>
                <w:rFonts w:ascii="Verdana" w:hAnsi="Verdana"/>
                <w:b/>
                <w:bCs/>
                <w:color w:val="000000"/>
                <w:sz w:val="18"/>
                <w:szCs w:val="18"/>
              </w:rPr>
              <w:t>Average Directional Movement Rating (ADXR)</w:t>
            </w:r>
          </w:p>
        </w:tc>
        <w:tc>
          <w:tcPr>
            <w:tcW w:w="3081" w:type="dxa"/>
          </w:tcPr>
          <w:p w:rsidR="002B6ABF" w:rsidRPr="002B6ABF" w:rsidRDefault="002B6ABF" w:rsidP="002B6ABF">
            <w:pPr>
              <w:pStyle w:val="ListParagraph"/>
              <w:numPr>
                <w:ilvl w:val="0"/>
                <w:numId w:val="1"/>
              </w:numPr>
            </w:pPr>
            <w:r>
              <w:rPr>
                <w:rFonts w:ascii="Verdana" w:hAnsi="Verdana"/>
                <w:color w:val="000000"/>
                <w:sz w:val="18"/>
                <w:szCs w:val="18"/>
                <w:shd w:val="clear" w:color="auto" w:fill="FFFFFF"/>
              </w:rPr>
              <w:t> equal to the current ADX plus the ADX from </w:t>
            </w:r>
            <w:r>
              <w:rPr>
                <w:rFonts w:ascii="Verdana" w:hAnsi="Verdana"/>
                <w:i/>
                <w:iCs/>
                <w:color w:val="000000"/>
                <w:sz w:val="18"/>
                <w:szCs w:val="18"/>
              </w:rPr>
              <w:t>n</w:t>
            </w:r>
            <w:r>
              <w:rPr>
                <w:rFonts w:ascii="Verdana" w:hAnsi="Verdana"/>
                <w:color w:val="000000"/>
                <w:sz w:val="18"/>
                <w:szCs w:val="18"/>
                <w:shd w:val="clear" w:color="auto" w:fill="FFFFFF"/>
              </w:rPr>
              <w:t> bars ago divided by 2</w:t>
            </w:r>
          </w:p>
          <w:p w:rsidR="002B6ABF" w:rsidRPr="002B6ABF" w:rsidRDefault="002B6ABF" w:rsidP="002B6ABF">
            <w:pPr>
              <w:pStyle w:val="ListParagraph"/>
              <w:numPr>
                <w:ilvl w:val="0"/>
                <w:numId w:val="1"/>
              </w:numPr>
            </w:pPr>
            <w:r>
              <w:rPr>
                <w:rFonts w:ascii="Verdana" w:hAnsi="Verdana"/>
                <w:color w:val="000000"/>
                <w:sz w:val="18"/>
                <w:szCs w:val="18"/>
                <w:shd w:val="clear" w:color="auto" w:fill="FFFFFF"/>
              </w:rPr>
              <w:t> it is the average of the two ADX values</w:t>
            </w:r>
          </w:p>
          <w:p w:rsidR="002B6ABF" w:rsidRPr="002B6ABF" w:rsidRDefault="002B6ABF" w:rsidP="002B6ABF">
            <w:pPr>
              <w:pStyle w:val="ListParagraph"/>
              <w:numPr>
                <w:ilvl w:val="0"/>
                <w:numId w:val="1"/>
              </w:numPr>
            </w:pPr>
            <w:r>
              <w:rPr>
                <w:rFonts w:ascii="Verdana" w:hAnsi="Verdana"/>
                <w:color w:val="000000"/>
                <w:sz w:val="18"/>
                <w:szCs w:val="18"/>
                <w:shd w:val="clear" w:color="auto" w:fill="FFFFFF"/>
              </w:rPr>
              <w:t xml:space="preserve">ADXR </w:t>
            </w:r>
            <w:proofErr w:type="spellStart"/>
            <w:r>
              <w:rPr>
                <w:rFonts w:ascii="Verdana" w:hAnsi="Verdana"/>
                <w:color w:val="000000"/>
                <w:sz w:val="18"/>
                <w:szCs w:val="18"/>
                <w:shd w:val="clear" w:color="auto" w:fill="FFFFFF"/>
              </w:rPr>
              <w:t>smoothes</w:t>
            </w:r>
            <w:proofErr w:type="spellEnd"/>
            <w:r>
              <w:rPr>
                <w:rFonts w:ascii="Verdana" w:hAnsi="Verdana"/>
                <w:color w:val="000000"/>
                <w:sz w:val="18"/>
                <w:szCs w:val="18"/>
                <w:shd w:val="clear" w:color="auto" w:fill="FFFFFF"/>
              </w:rPr>
              <w:t xml:space="preserve"> the ADX, and is therefore less responsive, however, the ADXR filters out excessive tops and bottoms.</w:t>
            </w:r>
          </w:p>
          <w:p w:rsidR="002B6ABF" w:rsidRDefault="002B6ABF" w:rsidP="002B6ABF">
            <w:pPr>
              <w:pStyle w:val="ListParagraph"/>
              <w:numPr>
                <w:ilvl w:val="0"/>
                <w:numId w:val="1"/>
              </w:numPr>
            </w:pPr>
            <w:r>
              <w:rPr>
                <w:rFonts w:ascii="Verdana" w:hAnsi="Verdana"/>
                <w:color w:val="000000"/>
                <w:sz w:val="18"/>
                <w:szCs w:val="18"/>
                <w:shd w:val="clear" w:color="auto" w:fill="FFFFFF"/>
              </w:rPr>
              <w:t xml:space="preserve"> To interpret the ADXR, consider a high number to be a strong trend, and a low number, a weak trend.</w:t>
            </w:r>
          </w:p>
        </w:tc>
        <w:tc>
          <w:tcPr>
            <w:tcW w:w="3081" w:type="dxa"/>
          </w:tcPr>
          <w:p w:rsidR="002B6ABF" w:rsidRDefault="002B6ABF"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1752600" cy="419100"/>
                  <wp:effectExtent l="0" t="0" r="0" b="0"/>
                  <wp:docPr id="17" name="Picture 17" descr="https://www.fmlabs.com/reference/ADX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mlabs.com/reference/ADX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a:ln>
                            <a:noFill/>
                          </a:ln>
                        </pic:spPr>
                      </pic:pic>
                    </a:graphicData>
                  </a:graphic>
                </wp:inline>
              </w:drawing>
            </w:r>
          </w:p>
        </w:tc>
      </w:tr>
    </w:tbl>
    <w:p w:rsidR="002B6ABF" w:rsidRDefault="002B6ABF" w:rsidP="00976C87">
      <w:pPr>
        <w:ind w:firstLine="720"/>
      </w:pPr>
    </w:p>
    <w:tbl>
      <w:tblPr>
        <w:tblStyle w:val="TableGrid"/>
        <w:tblW w:w="0" w:type="auto"/>
        <w:tblLook w:val="04A0" w:firstRow="1" w:lastRow="0" w:firstColumn="1" w:lastColumn="0" w:noHBand="0" w:noVBand="1"/>
      </w:tblPr>
      <w:tblGrid>
        <w:gridCol w:w="428"/>
        <w:gridCol w:w="1436"/>
        <w:gridCol w:w="7378"/>
      </w:tblGrid>
      <w:tr w:rsidR="002B6ABF" w:rsidTr="002B6ABF">
        <w:tc>
          <w:tcPr>
            <w:tcW w:w="3080" w:type="dxa"/>
          </w:tcPr>
          <w:p w:rsidR="002B6ABF" w:rsidRDefault="002B6ABF" w:rsidP="00976C87">
            <w:r>
              <w:rPr>
                <w:rFonts w:ascii="Verdana" w:hAnsi="Verdana"/>
                <w:b/>
                <w:bCs/>
                <w:color w:val="000000"/>
                <w:sz w:val="18"/>
                <w:szCs w:val="18"/>
              </w:rPr>
              <w:t>T3</w:t>
            </w:r>
          </w:p>
        </w:tc>
        <w:tc>
          <w:tcPr>
            <w:tcW w:w="3081" w:type="dxa"/>
          </w:tcPr>
          <w:p w:rsidR="002B6ABF" w:rsidRPr="002B6ABF" w:rsidRDefault="002B6ABF" w:rsidP="002B6ABF">
            <w:pPr>
              <w:pStyle w:val="ListParagraph"/>
              <w:numPr>
                <w:ilvl w:val="0"/>
                <w:numId w:val="1"/>
              </w:numPr>
            </w:pPr>
            <w:r>
              <w:rPr>
                <w:rFonts w:ascii="Verdana" w:hAnsi="Verdana"/>
                <w:color w:val="000000"/>
                <w:sz w:val="18"/>
                <w:szCs w:val="18"/>
                <w:shd w:val="clear" w:color="auto" w:fill="FFFFFF"/>
              </w:rPr>
              <w:t>T3 takes the DEMA calculation and adds a </w:t>
            </w:r>
            <w:proofErr w:type="spellStart"/>
            <w:r>
              <w:rPr>
                <w:rFonts w:ascii="Verdana" w:hAnsi="Verdana"/>
                <w:i/>
                <w:iCs/>
                <w:color w:val="000000"/>
                <w:sz w:val="18"/>
                <w:szCs w:val="18"/>
              </w:rPr>
              <w:t>vfactor</w:t>
            </w:r>
            <w:proofErr w:type="spellEnd"/>
            <w:r>
              <w:rPr>
                <w:rFonts w:ascii="Verdana" w:hAnsi="Verdana"/>
                <w:color w:val="000000"/>
                <w:sz w:val="18"/>
                <w:szCs w:val="18"/>
                <w:shd w:val="clear" w:color="auto" w:fill="FFFFFF"/>
              </w:rPr>
              <w:t xml:space="preserve"> which is between </w:t>
            </w:r>
            <w:r>
              <w:rPr>
                <w:rFonts w:ascii="Verdana" w:hAnsi="Verdana"/>
                <w:color w:val="000000"/>
                <w:sz w:val="18"/>
                <w:szCs w:val="18"/>
                <w:shd w:val="clear" w:color="auto" w:fill="FFFFFF"/>
              </w:rPr>
              <w:lastRenderedPageBreak/>
              <w:t>zero and 1.</w:t>
            </w:r>
          </w:p>
          <w:p w:rsidR="002B6ABF" w:rsidRPr="002B6ABF" w:rsidRDefault="002B6ABF" w:rsidP="002B6ABF">
            <w:pPr>
              <w:pStyle w:val="ListParagraph"/>
              <w:numPr>
                <w:ilvl w:val="0"/>
                <w:numId w:val="1"/>
              </w:numPr>
            </w:pPr>
            <w:proofErr w:type="gramStart"/>
            <w:r>
              <w:rPr>
                <w:rFonts w:ascii="Verdana" w:hAnsi="Verdana"/>
                <w:color w:val="000000"/>
                <w:sz w:val="18"/>
                <w:szCs w:val="18"/>
                <w:shd w:val="clear" w:color="auto" w:fill="FFFFFF"/>
              </w:rPr>
              <w:t>resultant</w:t>
            </w:r>
            <w:proofErr w:type="gramEnd"/>
            <w:r>
              <w:rPr>
                <w:rFonts w:ascii="Verdana" w:hAnsi="Verdana"/>
                <w:color w:val="000000"/>
                <w:sz w:val="18"/>
                <w:szCs w:val="18"/>
                <w:shd w:val="clear" w:color="auto" w:fill="FFFFFF"/>
              </w:rPr>
              <w:t xml:space="preserve"> function is called the GD, or Generalized DEMA. A GD with </w:t>
            </w:r>
            <w:proofErr w:type="spellStart"/>
            <w:r>
              <w:rPr>
                <w:rFonts w:ascii="Verdana" w:hAnsi="Verdana"/>
                <w:i/>
                <w:iCs/>
                <w:color w:val="000000"/>
                <w:sz w:val="18"/>
                <w:szCs w:val="18"/>
              </w:rPr>
              <w:t>vfactor</w:t>
            </w:r>
            <w:r>
              <w:rPr>
                <w:rFonts w:ascii="Verdana" w:hAnsi="Verdana"/>
                <w:color w:val="000000"/>
                <w:sz w:val="18"/>
                <w:szCs w:val="18"/>
                <w:shd w:val="clear" w:color="auto" w:fill="FFFFFF"/>
              </w:rPr>
              <w:t>of</w:t>
            </w:r>
            <w:proofErr w:type="spellEnd"/>
            <w:r>
              <w:rPr>
                <w:rFonts w:ascii="Verdana" w:hAnsi="Verdana"/>
                <w:color w:val="000000"/>
                <w:sz w:val="18"/>
                <w:szCs w:val="18"/>
                <w:shd w:val="clear" w:color="auto" w:fill="FFFFFF"/>
              </w:rPr>
              <w:t xml:space="preserve"> 1 is the same as the DEMA. </w:t>
            </w:r>
          </w:p>
          <w:p w:rsidR="002B6ABF" w:rsidRPr="002B6ABF" w:rsidRDefault="002B6ABF" w:rsidP="002B6ABF">
            <w:pPr>
              <w:pStyle w:val="ListParagraph"/>
              <w:numPr>
                <w:ilvl w:val="0"/>
                <w:numId w:val="1"/>
              </w:numPr>
            </w:pPr>
            <w:r>
              <w:rPr>
                <w:rFonts w:ascii="Verdana" w:hAnsi="Verdana"/>
                <w:color w:val="000000"/>
                <w:sz w:val="18"/>
                <w:szCs w:val="18"/>
                <w:shd w:val="clear" w:color="auto" w:fill="FFFFFF"/>
              </w:rPr>
              <w:t>A GD with a </w:t>
            </w:r>
            <w:proofErr w:type="spellStart"/>
            <w:r>
              <w:rPr>
                <w:rFonts w:ascii="Verdana" w:hAnsi="Verdana"/>
                <w:i/>
                <w:iCs/>
                <w:color w:val="000000"/>
                <w:sz w:val="18"/>
                <w:szCs w:val="18"/>
              </w:rPr>
              <w:t>vfactor</w:t>
            </w:r>
            <w:proofErr w:type="spellEnd"/>
            <w:r>
              <w:rPr>
                <w:rFonts w:ascii="Verdana" w:hAnsi="Verdana"/>
                <w:color w:val="000000"/>
                <w:sz w:val="18"/>
                <w:szCs w:val="18"/>
                <w:shd w:val="clear" w:color="auto" w:fill="FFFFFF"/>
              </w:rPr>
              <w:t> of zero is the same as an Exponential Moving Average. The T3 typically uses a </w:t>
            </w:r>
            <w:proofErr w:type="spellStart"/>
            <w:r>
              <w:rPr>
                <w:rFonts w:ascii="Verdana" w:hAnsi="Verdana"/>
                <w:i/>
                <w:iCs/>
                <w:color w:val="000000"/>
                <w:sz w:val="18"/>
                <w:szCs w:val="18"/>
              </w:rPr>
              <w:t>vfactor</w:t>
            </w:r>
            <w:proofErr w:type="spellEnd"/>
            <w:r>
              <w:rPr>
                <w:rFonts w:ascii="Verdana" w:hAnsi="Verdana"/>
                <w:color w:val="000000"/>
                <w:sz w:val="18"/>
                <w:szCs w:val="18"/>
                <w:shd w:val="clear" w:color="auto" w:fill="FFFFFF"/>
              </w:rPr>
              <w:t> of 0.7.</w:t>
            </w:r>
          </w:p>
          <w:p w:rsidR="002B6ABF" w:rsidRDefault="002B6ABF" w:rsidP="002B6ABF">
            <w:pPr>
              <w:pStyle w:val="ListParagraph"/>
              <w:numPr>
                <w:ilvl w:val="0"/>
                <w:numId w:val="1"/>
              </w:numPr>
            </w:pPr>
            <w:r>
              <w:rPr>
                <w:rFonts w:ascii="Verdana" w:hAnsi="Verdana"/>
                <w:color w:val="000000"/>
                <w:sz w:val="18"/>
                <w:szCs w:val="18"/>
                <w:shd w:val="clear" w:color="auto" w:fill="FFFFFF"/>
              </w:rPr>
              <w:t> T3 triple-</w:t>
            </w:r>
            <w:proofErr w:type="spellStart"/>
            <w:r>
              <w:rPr>
                <w:rFonts w:ascii="Verdana" w:hAnsi="Verdana"/>
                <w:color w:val="000000"/>
                <w:sz w:val="18"/>
                <w:szCs w:val="18"/>
                <w:shd w:val="clear" w:color="auto" w:fill="FFFFFF"/>
              </w:rPr>
              <w:t>smoothes</w:t>
            </w:r>
            <w:proofErr w:type="spellEnd"/>
            <w:r>
              <w:rPr>
                <w:rFonts w:ascii="Verdana" w:hAnsi="Verdana"/>
                <w:color w:val="000000"/>
                <w:sz w:val="18"/>
                <w:szCs w:val="18"/>
                <w:shd w:val="clear" w:color="auto" w:fill="FFFFFF"/>
              </w:rPr>
              <w:t xml:space="preserve"> the data series by calling the GD three times. You can pass any value for </w:t>
            </w:r>
            <w:proofErr w:type="spellStart"/>
            <w:r>
              <w:rPr>
                <w:rFonts w:ascii="Verdana" w:hAnsi="Verdana"/>
                <w:i/>
                <w:iCs/>
                <w:color w:val="000000"/>
                <w:sz w:val="18"/>
                <w:szCs w:val="18"/>
              </w:rPr>
              <w:t>tcount</w:t>
            </w:r>
            <w:proofErr w:type="spellEnd"/>
            <w:r>
              <w:rPr>
                <w:rFonts w:ascii="Verdana" w:hAnsi="Verdana"/>
                <w:color w:val="000000"/>
                <w:sz w:val="18"/>
                <w:szCs w:val="18"/>
                <w:shd w:val="clear" w:color="auto" w:fill="FFFFFF"/>
              </w:rPr>
              <w:t> to the T3 function</w:t>
            </w:r>
          </w:p>
        </w:tc>
        <w:tc>
          <w:tcPr>
            <w:tcW w:w="3081" w:type="dxa"/>
          </w:tcPr>
          <w:p w:rsidR="002B6ABF" w:rsidRDefault="002B6ABF" w:rsidP="00976C87">
            <w:r>
              <w:rPr>
                <w:rFonts w:ascii="Verdana" w:hAnsi="Verdana"/>
                <w:color w:val="000000"/>
                <w:sz w:val="18"/>
                <w:szCs w:val="18"/>
              </w:rPr>
              <w:lastRenderedPageBreak/>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5324475" cy="428625"/>
                  <wp:effectExtent l="0" t="0" r="9525" b="9525"/>
                  <wp:docPr id="18" name="Picture 18" descr="https://www.fmlabs.com/referenc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mlabs.com/reference/T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428625"/>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2B6ABF" w:rsidRDefault="002B6ABF" w:rsidP="00976C87">
      <w:pPr>
        <w:ind w:firstLine="720"/>
      </w:pPr>
    </w:p>
    <w:tbl>
      <w:tblPr>
        <w:tblStyle w:val="TableGrid"/>
        <w:tblW w:w="0" w:type="auto"/>
        <w:tblLook w:val="04A0" w:firstRow="1" w:lastRow="0" w:firstColumn="1" w:lastColumn="0" w:noHBand="0" w:noVBand="1"/>
      </w:tblPr>
      <w:tblGrid>
        <w:gridCol w:w="730"/>
        <w:gridCol w:w="1247"/>
        <w:gridCol w:w="7265"/>
      </w:tblGrid>
      <w:tr w:rsidR="0016220C" w:rsidTr="0016220C">
        <w:tc>
          <w:tcPr>
            <w:tcW w:w="3080" w:type="dxa"/>
          </w:tcPr>
          <w:p w:rsidR="0016220C" w:rsidRDefault="0016220C" w:rsidP="00976C87">
            <w:r>
              <w:rPr>
                <w:rFonts w:ascii="Verdana" w:hAnsi="Verdana"/>
                <w:b/>
                <w:bCs/>
                <w:color w:val="000000"/>
                <w:sz w:val="18"/>
                <w:szCs w:val="18"/>
              </w:rPr>
              <w:t>TEMA</w:t>
            </w:r>
          </w:p>
        </w:tc>
        <w:tc>
          <w:tcPr>
            <w:tcW w:w="3081" w:type="dxa"/>
          </w:tcPr>
          <w:p w:rsidR="0016220C" w:rsidRPr="0016220C" w:rsidRDefault="0016220C" w:rsidP="0016220C">
            <w:pPr>
              <w:pStyle w:val="ListParagraph"/>
              <w:numPr>
                <w:ilvl w:val="0"/>
                <w:numId w:val="1"/>
              </w:numPr>
            </w:pPr>
            <w:r>
              <w:rPr>
                <w:rFonts w:ascii="Verdana" w:hAnsi="Verdana"/>
                <w:color w:val="000000"/>
                <w:sz w:val="18"/>
                <w:szCs w:val="18"/>
                <w:shd w:val="clear" w:color="auto" w:fill="FFFFFF"/>
              </w:rPr>
              <w:t xml:space="preserve">TEMA is a smoothing indicator with less </w:t>
            </w:r>
            <w:r>
              <w:rPr>
                <w:rFonts w:ascii="Verdana" w:hAnsi="Verdana"/>
                <w:color w:val="000000"/>
                <w:sz w:val="18"/>
                <w:szCs w:val="18"/>
                <w:shd w:val="clear" w:color="auto" w:fill="FFFFFF"/>
              </w:rPr>
              <w:lastRenderedPageBreak/>
              <w:t>lag than a straight exponential moving average. </w:t>
            </w:r>
          </w:p>
          <w:p w:rsidR="0016220C" w:rsidRDefault="0016220C" w:rsidP="0016220C">
            <w:pPr>
              <w:pStyle w:val="ListParagraph"/>
              <w:numPr>
                <w:ilvl w:val="0"/>
                <w:numId w:val="1"/>
              </w:numPr>
            </w:pPr>
            <w:r>
              <w:rPr>
                <w:rFonts w:ascii="Verdana" w:hAnsi="Verdana"/>
                <w:color w:val="000000"/>
                <w:sz w:val="18"/>
                <w:szCs w:val="18"/>
                <w:shd w:val="clear" w:color="auto" w:fill="FFFFFF"/>
              </w:rPr>
              <w:t> TEMA is an acronym for Triple Exponential Moving Average</w:t>
            </w:r>
          </w:p>
        </w:tc>
        <w:tc>
          <w:tcPr>
            <w:tcW w:w="3081" w:type="dxa"/>
          </w:tcPr>
          <w:p w:rsidR="0016220C" w:rsidRDefault="0016220C"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drawing>
                <wp:inline distT="0" distB="0" distL="0" distR="0">
                  <wp:extent cx="4791075" cy="200025"/>
                  <wp:effectExtent l="0" t="0" r="9525" b="9525"/>
                  <wp:docPr id="19" name="Picture 19" descr="https://www.fmlabs.com/reference/T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mlabs.com/reference/TEMA.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200025"/>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16220C" w:rsidRDefault="0016220C" w:rsidP="00976C87">
      <w:pPr>
        <w:ind w:firstLine="720"/>
      </w:pPr>
    </w:p>
    <w:tbl>
      <w:tblPr>
        <w:tblStyle w:val="TableGrid"/>
        <w:tblW w:w="0" w:type="auto"/>
        <w:tblLook w:val="04A0" w:firstRow="1" w:lastRow="0" w:firstColumn="1" w:lastColumn="0" w:noHBand="0" w:noVBand="1"/>
      </w:tblPr>
      <w:tblGrid>
        <w:gridCol w:w="2798"/>
        <w:gridCol w:w="3854"/>
        <w:gridCol w:w="2590"/>
      </w:tblGrid>
      <w:tr w:rsidR="00E307A8" w:rsidTr="00E307A8">
        <w:tc>
          <w:tcPr>
            <w:tcW w:w="3080" w:type="dxa"/>
          </w:tcPr>
          <w:p w:rsidR="00E307A8" w:rsidRDefault="00E307A8" w:rsidP="00E307A8">
            <w:pPr>
              <w:pStyle w:val="Heading1"/>
              <w:shd w:val="clear" w:color="auto" w:fill="FFFFFF"/>
              <w:spacing w:before="0"/>
              <w:textAlignment w:val="baseline"/>
              <w:outlineLvl w:val="0"/>
              <w:rPr>
                <w:rFonts w:ascii="Fidelity Sans" w:hAnsi="Fidelity Sans"/>
                <w:b w:val="0"/>
                <w:bCs w:val="0"/>
                <w:color w:val="000000"/>
                <w:sz w:val="51"/>
                <w:szCs w:val="51"/>
              </w:rPr>
            </w:pPr>
            <w:r>
              <w:rPr>
                <w:rFonts w:ascii="Fidelity Sans" w:hAnsi="Fidelity Sans"/>
                <w:b w:val="0"/>
                <w:bCs w:val="0"/>
                <w:color w:val="000000"/>
                <w:sz w:val="51"/>
                <w:szCs w:val="51"/>
              </w:rPr>
              <w:t>Absolute Price Oscillator</w:t>
            </w:r>
          </w:p>
          <w:p w:rsidR="00E307A8" w:rsidRDefault="00E307A8" w:rsidP="00976C87"/>
        </w:tc>
        <w:tc>
          <w:tcPr>
            <w:tcW w:w="3081" w:type="dxa"/>
          </w:tcPr>
          <w:p w:rsidR="00E307A8" w:rsidRPr="00E307A8" w:rsidRDefault="00E307A8" w:rsidP="00E307A8">
            <w:pPr>
              <w:pStyle w:val="ListParagraph"/>
              <w:numPr>
                <w:ilvl w:val="0"/>
                <w:numId w:val="1"/>
              </w:numPr>
            </w:pPr>
            <w:r>
              <w:rPr>
                <w:rFonts w:ascii="Fidelity Sans" w:hAnsi="Fidelity Sans"/>
                <w:color w:val="000000"/>
                <w:shd w:val="clear" w:color="auto" w:fill="FFFFFF"/>
              </w:rPr>
              <w:t>The Absolute Price Oscillator displays the difference between two exponential moving averages of a security's price and is expressed as an absolute value.</w:t>
            </w:r>
          </w:p>
          <w:p w:rsidR="00E307A8" w:rsidRDefault="00E307A8" w:rsidP="00E307A8">
            <w:pPr>
              <w:pStyle w:val="ListParagraph"/>
              <w:numPr>
                <w:ilvl w:val="0"/>
                <w:numId w:val="1"/>
              </w:numPr>
            </w:pPr>
            <w:r w:rsidRPr="00E307A8">
              <w:t>https://www.fidelity.com/learning-center/trading-investing/technical-analysis/technical-indicator-guide/apo</w:t>
            </w:r>
          </w:p>
        </w:tc>
        <w:tc>
          <w:tcPr>
            <w:tcW w:w="3081" w:type="dxa"/>
          </w:tcPr>
          <w:p w:rsidR="00E307A8" w:rsidRPr="00E307A8" w:rsidRDefault="00E307A8" w:rsidP="00E307A8">
            <w:pPr>
              <w:shd w:val="clear" w:color="auto" w:fill="FFFFFF"/>
              <w:textAlignment w:val="baseline"/>
              <w:outlineLvl w:val="2"/>
              <w:rPr>
                <w:rFonts w:ascii="Fidelity Sans" w:eastAsia="Times New Roman" w:hAnsi="Fidelity Sans" w:cs="Times New Roman"/>
                <w:color w:val="000000"/>
                <w:sz w:val="30"/>
                <w:szCs w:val="30"/>
                <w:lang w:eastAsia="en-IN"/>
              </w:rPr>
            </w:pPr>
            <w:r w:rsidRPr="00E307A8">
              <w:rPr>
                <w:rFonts w:ascii="Fidelity Sans" w:eastAsia="Times New Roman" w:hAnsi="Fidelity Sans" w:cs="Times New Roman"/>
                <w:color w:val="000000"/>
                <w:sz w:val="30"/>
                <w:szCs w:val="30"/>
                <w:lang w:eastAsia="en-IN"/>
              </w:rPr>
              <w:t>Calculation</w:t>
            </w:r>
          </w:p>
          <w:p w:rsidR="00E307A8" w:rsidRPr="00E307A8" w:rsidRDefault="00E307A8" w:rsidP="00E307A8">
            <w:pPr>
              <w:shd w:val="clear" w:color="auto" w:fill="FFFFFF"/>
              <w:textAlignment w:val="baseline"/>
              <w:rPr>
                <w:rFonts w:ascii="Fidelity Sans" w:eastAsia="Times New Roman" w:hAnsi="Fidelity Sans" w:cs="Times New Roman"/>
                <w:color w:val="000000"/>
                <w:sz w:val="27"/>
                <w:szCs w:val="27"/>
                <w:lang w:eastAsia="en-IN"/>
              </w:rPr>
            </w:pPr>
            <w:r w:rsidRPr="00E307A8">
              <w:rPr>
                <w:rFonts w:ascii="Fidelity Sans" w:eastAsia="Times New Roman" w:hAnsi="Fidelity Sans" w:cs="Times New Roman"/>
                <w:color w:val="000000"/>
                <w:sz w:val="27"/>
                <w:szCs w:val="27"/>
                <w:lang w:eastAsia="en-IN"/>
              </w:rPr>
              <w:t>APO = Shorter Period EMA – Longer Period EMA</w:t>
            </w:r>
          </w:p>
          <w:p w:rsidR="00E307A8" w:rsidRDefault="00E307A8" w:rsidP="00976C87"/>
        </w:tc>
      </w:tr>
    </w:tbl>
    <w:p w:rsidR="00E307A8" w:rsidRDefault="00E307A8" w:rsidP="00976C87">
      <w:pPr>
        <w:ind w:firstLine="720"/>
      </w:pPr>
    </w:p>
    <w:tbl>
      <w:tblPr>
        <w:tblStyle w:val="TableGrid"/>
        <w:tblW w:w="0" w:type="auto"/>
        <w:tblLook w:val="04A0" w:firstRow="1" w:lastRow="0" w:firstColumn="1" w:lastColumn="0" w:noHBand="0" w:noVBand="1"/>
      </w:tblPr>
      <w:tblGrid>
        <w:gridCol w:w="1100"/>
        <w:gridCol w:w="6189"/>
        <w:gridCol w:w="1953"/>
      </w:tblGrid>
      <w:tr w:rsidR="00E307A8" w:rsidTr="00E307A8">
        <w:tc>
          <w:tcPr>
            <w:tcW w:w="3080" w:type="dxa"/>
          </w:tcPr>
          <w:p w:rsidR="00E307A8" w:rsidRDefault="00E307A8" w:rsidP="00976C87">
            <w:r>
              <w:rPr>
                <w:rFonts w:ascii="Georgia" w:hAnsi="Georgia"/>
                <w:color w:val="000000"/>
                <w:sz w:val="27"/>
                <w:szCs w:val="27"/>
                <w:shd w:val="clear" w:color="auto" w:fill="FFFFFF"/>
              </w:rPr>
              <w:t>Percentage Price Oscillator (PPO)</w:t>
            </w:r>
          </w:p>
        </w:tc>
        <w:tc>
          <w:tcPr>
            <w:tcW w:w="3081" w:type="dxa"/>
          </w:tcPr>
          <w:p w:rsidR="00E307A8" w:rsidRDefault="00E307A8" w:rsidP="00E307A8">
            <w:pPr>
              <w:pStyle w:val="ListParagraph"/>
              <w:numPr>
                <w:ilvl w:val="0"/>
                <w:numId w:val="1"/>
              </w:numPr>
            </w:pPr>
            <w:r w:rsidRPr="00E307A8">
              <w:t>stockcharts.com/school/doku.php?id=chart_school:technical_indicators:price_oscillators_ppo</w:t>
            </w:r>
          </w:p>
        </w:tc>
        <w:tc>
          <w:tcPr>
            <w:tcW w:w="3081" w:type="dxa"/>
          </w:tcPr>
          <w:p w:rsidR="00E307A8" w:rsidRDefault="00E307A8" w:rsidP="00E307A8">
            <w:pPr>
              <w:pStyle w:val="Heading2"/>
              <w:pBdr>
                <w:bottom w:val="single" w:sz="18" w:space="4" w:color="C0CED8"/>
              </w:pBdr>
              <w:spacing w:before="450" w:after="225"/>
              <w:outlineLvl w:val="1"/>
              <w:rPr>
                <w:rFonts w:ascii="Helvetica" w:hAnsi="Helvetica"/>
                <w:color w:val="2D3339"/>
                <w:sz w:val="48"/>
                <w:szCs w:val="48"/>
              </w:rPr>
            </w:pPr>
            <w:r>
              <w:rPr>
                <w:rFonts w:ascii="Helvetica" w:hAnsi="Helvetica"/>
                <w:color w:val="2D3339"/>
                <w:sz w:val="48"/>
                <w:szCs w:val="48"/>
              </w:rPr>
              <w:t>Calculation</w:t>
            </w:r>
          </w:p>
          <w:p w:rsidR="00E307A8" w:rsidRDefault="00E307A8" w:rsidP="00E307A8">
            <w:pPr>
              <w:pStyle w:val="HTMLPreformatted"/>
              <w:shd w:val="clear" w:color="auto" w:fill="2D4052"/>
              <w:wordWrap w:val="0"/>
              <w:spacing w:before="150" w:after="150"/>
              <w:rPr>
                <w:rFonts w:ascii="Consolas" w:hAnsi="Consolas"/>
                <w:color w:val="FFFFFF"/>
                <w:sz w:val="24"/>
                <w:szCs w:val="24"/>
              </w:rPr>
            </w:pPr>
            <w:r>
              <w:rPr>
                <w:rFonts w:ascii="Consolas" w:hAnsi="Consolas"/>
                <w:color w:val="FFFFFF"/>
                <w:sz w:val="24"/>
                <w:szCs w:val="24"/>
              </w:rPr>
              <w:t>Percentage Price Oscillator (PPO): {(12-day EMA - 26-day EMA)/26-day EMA} x 100</w:t>
            </w:r>
          </w:p>
          <w:p w:rsidR="00E307A8" w:rsidRDefault="00E307A8" w:rsidP="00E307A8">
            <w:pPr>
              <w:pStyle w:val="HTMLPreformatted"/>
              <w:shd w:val="clear" w:color="auto" w:fill="2D4052"/>
              <w:wordWrap w:val="0"/>
              <w:spacing w:before="150" w:after="150"/>
              <w:rPr>
                <w:rFonts w:ascii="Consolas" w:hAnsi="Consolas"/>
                <w:color w:val="FFFFFF"/>
                <w:sz w:val="24"/>
                <w:szCs w:val="24"/>
              </w:rPr>
            </w:pPr>
          </w:p>
          <w:p w:rsidR="00E307A8" w:rsidRDefault="00E307A8" w:rsidP="00E307A8">
            <w:pPr>
              <w:pStyle w:val="HTMLPreformatted"/>
              <w:shd w:val="clear" w:color="auto" w:fill="2D4052"/>
              <w:wordWrap w:val="0"/>
              <w:spacing w:before="150" w:after="150"/>
              <w:rPr>
                <w:rFonts w:ascii="Consolas" w:hAnsi="Consolas"/>
                <w:color w:val="FFFFFF"/>
                <w:sz w:val="24"/>
                <w:szCs w:val="24"/>
              </w:rPr>
            </w:pPr>
            <w:r>
              <w:rPr>
                <w:rFonts w:ascii="Consolas" w:hAnsi="Consolas"/>
                <w:color w:val="FFFFFF"/>
                <w:sz w:val="24"/>
                <w:szCs w:val="24"/>
              </w:rPr>
              <w:t>Signal Line: 9-day EMA of PPO</w:t>
            </w:r>
          </w:p>
          <w:p w:rsidR="00E307A8" w:rsidRDefault="00E307A8" w:rsidP="00E307A8">
            <w:pPr>
              <w:pStyle w:val="HTMLPreformatted"/>
              <w:shd w:val="clear" w:color="auto" w:fill="2D4052"/>
              <w:wordWrap w:val="0"/>
              <w:spacing w:before="150" w:after="150"/>
              <w:rPr>
                <w:rFonts w:ascii="Consolas" w:hAnsi="Consolas"/>
                <w:color w:val="FFFFFF"/>
                <w:sz w:val="24"/>
                <w:szCs w:val="24"/>
              </w:rPr>
            </w:pPr>
          </w:p>
          <w:p w:rsidR="00E307A8" w:rsidRDefault="00E307A8" w:rsidP="00E307A8">
            <w:pPr>
              <w:pStyle w:val="HTMLPreformatted"/>
              <w:shd w:val="clear" w:color="auto" w:fill="2D4052"/>
              <w:wordWrap w:val="0"/>
              <w:spacing w:before="150" w:after="150"/>
              <w:rPr>
                <w:rFonts w:ascii="Consolas" w:hAnsi="Consolas"/>
                <w:color w:val="FFFFFF"/>
                <w:sz w:val="24"/>
                <w:szCs w:val="24"/>
              </w:rPr>
            </w:pPr>
            <w:r>
              <w:rPr>
                <w:rFonts w:ascii="Consolas" w:hAnsi="Consolas"/>
                <w:color w:val="FFFFFF"/>
                <w:sz w:val="24"/>
                <w:szCs w:val="24"/>
              </w:rPr>
              <w:lastRenderedPageBreak/>
              <w:t>PPO Histogram: PPO - Signal Line</w:t>
            </w:r>
          </w:p>
          <w:p w:rsidR="00E307A8" w:rsidRDefault="00E307A8" w:rsidP="00976C87"/>
        </w:tc>
      </w:tr>
    </w:tbl>
    <w:p w:rsidR="00E307A8" w:rsidRDefault="00E307A8" w:rsidP="00976C87">
      <w:pPr>
        <w:ind w:firstLine="720"/>
      </w:pPr>
    </w:p>
    <w:tbl>
      <w:tblPr>
        <w:tblStyle w:val="TableGrid"/>
        <w:tblW w:w="0" w:type="auto"/>
        <w:tblLook w:val="04A0" w:firstRow="1" w:lastRow="0" w:firstColumn="1" w:lastColumn="0" w:noHBand="0" w:noVBand="1"/>
      </w:tblPr>
      <w:tblGrid>
        <w:gridCol w:w="1941"/>
        <w:gridCol w:w="1951"/>
        <w:gridCol w:w="5350"/>
      </w:tblGrid>
      <w:tr w:rsidR="00E307A8" w:rsidTr="00E307A8">
        <w:tc>
          <w:tcPr>
            <w:tcW w:w="3080" w:type="dxa"/>
          </w:tcPr>
          <w:p w:rsidR="00E307A8" w:rsidRDefault="00E307A8" w:rsidP="00976C87">
            <w:r>
              <w:rPr>
                <w:rFonts w:ascii="Verdana" w:hAnsi="Verdana"/>
                <w:b/>
                <w:bCs/>
                <w:color w:val="000000"/>
                <w:sz w:val="18"/>
                <w:szCs w:val="18"/>
              </w:rPr>
              <w:t>Exponential Moving Average</w:t>
            </w:r>
          </w:p>
        </w:tc>
        <w:tc>
          <w:tcPr>
            <w:tcW w:w="3081" w:type="dxa"/>
          </w:tcPr>
          <w:p w:rsidR="00E307A8" w:rsidRDefault="00E307A8" w:rsidP="00E307A8">
            <w:pPr>
              <w:pStyle w:val="ListParagraph"/>
              <w:numPr>
                <w:ilvl w:val="0"/>
                <w:numId w:val="1"/>
              </w:numPr>
            </w:pPr>
            <w:r>
              <w:rPr>
                <w:rFonts w:ascii="Verdana" w:hAnsi="Verdana"/>
                <w:color w:val="000000"/>
                <w:sz w:val="18"/>
                <w:szCs w:val="18"/>
                <w:shd w:val="clear" w:color="auto" w:fill="FFFFFF"/>
              </w:rPr>
              <w:t> In a Simple Moving Average, each value in the time period carries equal weight, and values outside of the time period are not included in the average. However, the Exponential Moving Average is a cumulative calculation, including all data. Past values have a diminishing contribution to the average, while more recent values have a greater contribution. This method allows the moving average to be more responsive to changes in the data.</w:t>
            </w:r>
          </w:p>
        </w:tc>
        <w:tc>
          <w:tcPr>
            <w:tcW w:w="3081" w:type="dxa"/>
          </w:tcPr>
          <w:p w:rsidR="00E307A8" w:rsidRDefault="00E307A8" w:rsidP="00976C87">
            <w:r>
              <w:rPr>
                <w:noProof/>
                <w:lang w:eastAsia="en-IN"/>
              </w:rPr>
              <w:drawing>
                <wp:inline distT="0" distB="0" distL="0" distR="0">
                  <wp:extent cx="3209925" cy="1485900"/>
                  <wp:effectExtent l="0" t="0" r="9525" b="0"/>
                  <wp:docPr id="20" name="Picture 20" descr="https://www.fmlabs.com/reference/Exp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ExpMA.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9925" cy="1485900"/>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E307A8" w:rsidRDefault="00E307A8" w:rsidP="00976C87">
      <w:pPr>
        <w:ind w:firstLine="720"/>
      </w:pPr>
    </w:p>
    <w:tbl>
      <w:tblPr>
        <w:tblStyle w:val="TableGrid"/>
        <w:tblW w:w="0" w:type="auto"/>
        <w:tblLook w:val="04A0" w:firstRow="1" w:lastRow="0" w:firstColumn="1" w:lastColumn="0" w:noHBand="0" w:noVBand="1"/>
      </w:tblPr>
      <w:tblGrid>
        <w:gridCol w:w="1063"/>
        <w:gridCol w:w="1312"/>
        <w:gridCol w:w="6867"/>
      </w:tblGrid>
      <w:tr w:rsidR="00370464" w:rsidTr="00370464">
        <w:tc>
          <w:tcPr>
            <w:tcW w:w="3080" w:type="dxa"/>
          </w:tcPr>
          <w:p w:rsidR="00370464" w:rsidRDefault="00370464" w:rsidP="00976C87">
            <w:r>
              <w:rPr>
                <w:rFonts w:ascii="Verdana" w:hAnsi="Verdana"/>
                <w:b/>
                <w:bCs/>
                <w:color w:val="000000"/>
                <w:sz w:val="18"/>
                <w:szCs w:val="18"/>
              </w:rPr>
              <w:t>Williams %R</w:t>
            </w:r>
          </w:p>
        </w:tc>
        <w:tc>
          <w:tcPr>
            <w:tcW w:w="3081" w:type="dxa"/>
          </w:tcPr>
          <w:p w:rsidR="00370464" w:rsidRDefault="00370464" w:rsidP="00370464">
            <w:pPr>
              <w:pStyle w:val="ListParagraph"/>
              <w:numPr>
                <w:ilvl w:val="0"/>
                <w:numId w:val="1"/>
              </w:num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values</w:t>
            </w:r>
            <w:proofErr w:type="gramEnd"/>
            <w:r>
              <w:rPr>
                <w:rFonts w:ascii="Verdana" w:hAnsi="Verdana"/>
                <w:color w:val="000000"/>
                <w:sz w:val="18"/>
                <w:szCs w:val="18"/>
                <w:shd w:val="clear" w:color="auto" w:fill="FFFFFF"/>
              </w:rPr>
              <w:t xml:space="preserve"> range from zero to 100, and are charted on an inverted scale, that is, </w:t>
            </w:r>
            <w:r>
              <w:rPr>
                <w:rFonts w:ascii="Verdana" w:hAnsi="Verdana"/>
                <w:color w:val="000000"/>
                <w:sz w:val="18"/>
                <w:szCs w:val="18"/>
                <w:shd w:val="clear" w:color="auto" w:fill="FFFFFF"/>
              </w:rPr>
              <w:lastRenderedPageBreak/>
              <w:t xml:space="preserve">with zero at the top and 100 at the bottom. Values below 20 indicate an overbought condition and a sell signal </w:t>
            </w:r>
            <w:proofErr w:type="gramStart"/>
            <w:r>
              <w:rPr>
                <w:rFonts w:ascii="Verdana" w:hAnsi="Verdana"/>
                <w:color w:val="000000"/>
                <w:sz w:val="18"/>
                <w:szCs w:val="18"/>
                <w:shd w:val="clear" w:color="auto" w:fill="FFFFFF"/>
              </w:rPr>
              <w:t>is</w:t>
            </w:r>
            <w:proofErr w:type="gramEnd"/>
            <w:r>
              <w:rPr>
                <w:rFonts w:ascii="Verdana" w:hAnsi="Verdana"/>
                <w:color w:val="000000"/>
                <w:sz w:val="18"/>
                <w:szCs w:val="18"/>
                <w:shd w:val="clear" w:color="auto" w:fill="FFFFFF"/>
              </w:rPr>
              <w:t xml:space="preserve"> generated when it crosses the 20 line. Values over 80 indicate an oversold condition and a buy signal </w:t>
            </w:r>
            <w:proofErr w:type="gramStart"/>
            <w:r>
              <w:rPr>
                <w:rFonts w:ascii="Verdana" w:hAnsi="Verdana"/>
                <w:color w:val="000000"/>
                <w:sz w:val="18"/>
                <w:szCs w:val="18"/>
                <w:shd w:val="clear" w:color="auto" w:fill="FFFFFF"/>
              </w:rPr>
              <w:t>is</w:t>
            </w:r>
            <w:proofErr w:type="gramEnd"/>
            <w:r>
              <w:rPr>
                <w:rFonts w:ascii="Verdana" w:hAnsi="Verdana"/>
                <w:color w:val="000000"/>
                <w:sz w:val="18"/>
                <w:szCs w:val="18"/>
                <w:shd w:val="clear" w:color="auto" w:fill="FFFFFF"/>
              </w:rPr>
              <w:t xml:space="preserve"> generated when it crosses the 80 line.</w:t>
            </w:r>
          </w:p>
        </w:tc>
        <w:tc>
          <w:tcPr>
            <w:tcW w:w="3081" w:type="dxa"/>
          </w:tcPr>
          <w:p w:rsidR="00370464" w:rsidRDefault="00370464" w:rsidP="00976C87">
            <w:r>
              <w:rPr>
                <w:rFonts w:ascii="Verdana" w:hAnsi="Verdana"/>
                <w:color w:val="000000"/>
                <w:sz w:val="18"/>
                <w:szCs w:val="18"/>
              </w:rPr>
              <w:lastRenderedPageBreak/>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4276725" cy="428625"/>
                  <wp:effectExtent l="0" t="0" r="9525" b="9525"/>
                  <wp:docPr id="21" name="Picture 21" descr="https://www.fmlabs.com/reference/Williams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mlabs.com/reference/Williams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428625"/>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E307A8" w:rsidRDefault="00E307A8" w:rsidP="00976C87">
      <w:pPr>
        <w:ind w:firstLine="720"/>
      </w:pPr>
    </w:p>
    <w:tbl>
      <w:tblPr>
        <w:tblStyle w:val="TableGrid"/>
        <w:tblW w:w="0" w:type="auto"/>
        <w:tblLook w:val="04A0" w:firstRow="1" w:lastRow="0" w:firstColumn="1" w:lastColumn="0" w:noHBand="0" w:noVBand="1"/>
      </w:tblPr>
      <w:tblGrid>
        <w:gridCol w:w="1089"/>
        <w:gridCol w:w="1453"/>
        <w:gridCol w:w="6700"/>
      </w:tblGrid>
      <w:tr w:rsidR="00370464" w:rsidTr="00370464">
        <w:tc>
          <w:tcPr>
            <w:tcW w:w="3080" w:type="dxa"/>
          </w:tcPr>
          <w:p w:rsidR="00370464" w:rsidRDefault="00655AA6" w:rsidP="00976C87">
            <w:r>
              <w:rPr>
                <w:rFonts w:ascii="Verdana" w:hAnsi="Verdana"/>
                <w:b/>
                <w:bCs/>
                <w:color w:val="000000"/>
                <w:sz w:val="18"/>
                <w:szCs w:val="18"/>
              </w:rPr>
              <w:t>Weighted Moving Average</w:t>
            </w:r>
          </w:p>
        </w:tc>
        <w:tc>
          <w:tcPr>
            <w:tcW w:w="3081" w:type="dxa"/>
          </w:tcPr>
          <w:p w:rsidR="00370464" w:rsidRPr="00655AA6" w:rsidRDefault="00655AA6" w:rsidP="00655AA6">
            <w:pPr>
              <w:pStyle w:val="ListParagraph"/>
              <w:numPr>
                <w:ilvl w:val="0"/>
                <w:numId w:val="1"/>
              </w:numPr>
            </w:pPr>
            <w:proofErr w:type="gramStart"/>
            <w:r>
              <w:rPr>
                <w:rFonts w:ascii="Verdana" w:hAnsi="Verdana"/>
                <w:color w:val="000000"/>
                <w:sz w:val="18"/>
                <w:szCs w:val="18"/>
                <w:shd w:val="clear" w:color="auto" w:fill="FFFFFF"/>
              </w:rPr>
              <w:t>calculates</w:t>
            </w:r>
            <w:proofErr w:type="gramEnd"/>
            <w:r>
              <w:rPr>
                <w:rFonts w:ascii="Verdana" w:hAnsi="Verdana"/>
                <w:color w:val="000000"/>
                <w:sz w:val="18"/>
                <w:szCs w:val="18"/>
                <w:shd w:val="clear" w:color="auto" w:fill="FFFFFF"/>
              </w:rPr>
              <w:t xml:space="preserve"> a weight for each value in the series.</w:t>
            </w:r>
          </w:p>
          <w:p w:rsidR="00655AA6" w:rsidRPr="00655AA6" w:rsidRDefault="00655AA6" w:rsidP="00655AA6">
            <w:pPr>
              <w:pStyle w:val="ListParagraph"/>
              <w:numPr>
                <w:ilvl w:val="0"/>
                <w:numId w:val="1"/>
              </w:num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more</w:t>
            </w:r>
            <w:proofErr w:type="gramEnd"/>
            <w:r>
              <w:rPr>
                <w:rFonts w:ascii="Verdana" w:hAnsi="Verdana"/>
                <w:color w:val="000000"/>
                <w:sz w:val="18"/>
                <w:szCs w:val="18"/>
                <w:shd w:val="clear" w:color="auto" w:fill="FFFFFF"/>
              </w:rPr>
              <w:t xml:space="preserve"> recent values are assigned greater weights. </w:t>
            </w:r>
          </w:p>
          <w:p w:rsidR="00655AA6" w:rsidRPr="00655AA6" w:rsidRDefault="00655AA6" w:rsidP="00655AA6">
            <w:pPr>
              <w:pStyle w:val="ListParagraph"/>
              <w:numPr>
                <w:ilvl w:val="0"/>
                <w:numId w:val="1"/>
              </w:numPr>
            </w:pPr>
            <w:r>
              <w:rPr>
                <w:rFonts w:ascii="Verdana" w:hAnsi="Verdana"/>
                <w:color w:val="000000"/>
                <w:sz w:val="18"/>
                <w:szCs w:val="18"/>
                <w:shd w:val="clear" w:color="auto" w:fill="FFFFFF"/>
              </w:rPr>
              <w:t>The Weighte</w:t>
            </w:r>
            <w:r>
              <w:rPr>
                <w:rFonts w:ascii="Verdana" w:hAnsi="Verdana"/>
                <w:color w:val="000000"/>
                <w:sz w:val="18"/>
                <w:szCs w:val="18"/>
                <w:shd w:val="clear" w:color="auto" w:fill="FFFFFF"/>
              </w:rPr>
              <w:lastRenderedPageBreak/>
              <w:t>d Moving Average is similar to a Simple Moving average in that it is not cumulative, that is, it only includes values in the time period (unlike an Exponential Moving Average).</w:t>
            </w:r>
          </w:p>
          <w:p w:rsidR="00655AA6" w:rsidRDefault="00655AA6" w:rsidP="00655AA6">
            <w:pPr>
              <w:pStyle w:val="ListParagraph"/>
              <w:numPr>
                <w:ilvl w:val="0"/>
                <w:numId w:val="1"/>
              </w:numPr>
            </w:pPr>
            <w:r>
              <w:rPr>
                <w:rFonts w:ascii="Verdana" w:hAnsi="Verdana"/>
                <w:color w:val="000000"/>
                <w:sz w:val="18"/>
                <w:szCs w:val="18"/>
                <w:shd w:val="clear" w:color="auto" w:fill="FFFFFF"/>
              </w:rPr>
              <w:t xml:space="preserve"> The Weighted Moving Average is similar to an Exponential Moving Average in that more recent data has a greater contribution to the average.</w:t>
            </w:r>
          </w:p>
        </w:tc>
        <w:tc>
          <w:tcPr>
            <w:tcW w:w="3081" w:type="dxa"/>
          </w:tcPr>
          <w:p w:rsidR="00370464" w:rsidRDefault="00655AA6" w:rsidP="00976C87">
            <w:r>
              <w:rPr>
                <w:rFonts w:ascii="Verdana" w:hAnsi="Verdana"/>
                <w:color w:val="000000"/>
                <w:sz w:val="18"/>
                <w:szCs w:val="18"/>
                <w:shd w:val="clear" w:color="auto" w:fill="FFFFFF"/>
              </w:rPr>
              <w:lastRenderedPageBreak/>
              <w:t>Formula:</w:t>
            </w:r>
            <w:r>
              <w:rPr>
                <w:rFonts w:ascii="Verdana" w:hAnsi="Verdana"/>
                <w:color w:val="000000"/>
                <w:sz w:val="18"/>
                <w:szCs w:val="18"/>
              </w:rPr>
              <w:br/>
            </w:r>
            <w:r>
              <w:rPr>
                <w:noProof/>
                <w:lang w:eastAsia="en-IN"/>
              </w:rPr>
              <w:drawing>
                <wp:inline distT="0" distB="0" distL="0" distR="0">
                  <wp:extent cx="4505325" cy="419100"/>
                  <wp:effectExtent l="0" t="0" r="9525" b="0"/>
                  <wp:docPr id="22" name="Picture 22" descr="https://www.fmlabs.com/reference/Weighted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mlabs.com/reference/WeightedMA.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419100"/>
                          </a:xfrm>
                          <a:prstGeom prst="rect">
                            <a:avLst/>
                          </a:prstGeom>
                          <a:noFill/>
                          <a:ln>
                            <a:noFill/>
                          </a:ln>
                        </pic:spPr>
                      </pic:pic>
                    </a:graphicData>
                  </a:graphic>
                </wp:inline>
              </w:drawing>
            </w:r>
            <w:r>
              <w:rPr>
                <w:rFonts w:ascii="Verdana" w:hAnsi="Verdana"/>
                <w:color w:val="000000"/>
                <w:sz w:val="18"/>
                <w:szCs w:val="18"/>
                <w:shd w:val="clear" w:color="auto" w:fill="FFFFFF"/>
              </w:rPr>
              <w:t> </w:t>
            </w:r>
          </w:p>
        </w:tc>
      </w:tr>
    </w:tbl>
    <w:p w:rsidR="00370464" w:rsidRDefault="00370464" w:rsidP="00976C87">
      <w:pPr>
        <w:ind w:firstLine="720"/>
      </w:pPr>
    </w:p>
    <w:tbl>
      <w:tblPr>
        <w:tblStyle w:val="TableGrid"/>
        <w:tblW w:w="0" w:type="auto"/>
        <w:tblLook w:val="04A0" w:firstRow="1" w:lastRow="0" w:firstColumn="1" w:lastColumn="0" w:noHBand="0" w:noVBand="1"/>
      </w:tblPr>
      <w:tblGrid>
        <w:gridCol w:w="2121"/>
        <w:gridCol w:w="2345"/>
        <w:gridCol w:w="4776"/>
      </w:tblGrid>
      <w:tr w:rsidR="00655AA6" w:rsidTr="00655AA6">
        <w:tc>
          <w:tcPr>
            <w:tcW w:w="3080" w:type="dxa"/>
          </w:tcPr>
          <w:p w:rsidR="00655AA6" w:rsidRDefault="0056699A" w:rsidP="00976C87">
            <w:r>
              <w:rPr>
                <w:rFonts w:ascii="Verdana" w:hAnsi="Verdana"/>
                <w:b/>
                <w:bCs/>
                <w:color w:val="000000"/>
                <w:sz w:val="18"/>
                <w:szCs w:val="18"/>
              </w:rPr>
              <w:t>DEMA</w:t>
            </w:r>
          </w:p>
        </w:tc>
        <w:tc>
          <w:tcPr>
            <w:tcW w:w="3081" w:type="dxa"/>
          </w:tcPr>
          <w:p w:rsidR="0056699A" w:rsidRPr="0056699A" w:rsidRDefault="0056699A" w:rsidP="0056699A">
            <w:pPr>
              <w:pStyle w:val="ListParagraph"/>
              <w:numPr>
                <w:ilvl w:val="0"/>
                <w:numId w:val="1"/>
              </w:numPr>
            </w:pPr>
            <w:r>
              <w:rPr>
                <w:rFonts w:ascii="Verdana" w:hAnsi="Verdana"/>
                <w:color w:val="000000"/>
                <w:sz w:val="18"/>
                <w:szCs w:val="18"/>
              </w:rPr>
              <w:br/>
            </w:r>
            <w:r>
              <w:rPr>
                <w:rFonts w:ascii="Verdana" w:hAnsi="Verdana"/>
                <w:color w:val="000000"/>
                <w:sz w:val="18"/>
                <w:szCs w:val="18"/>
                <w:shd w:val="clear" w:color="auto" w:fill="FFFFFF"/>
              </w:rPr>
              <w:t>The DEMA is a smoothing indicator with less lag than a straight exponential moving average.</w:t>
            </w:r>
          </w:p>
          <w:p w:rsidR="00655AA6" w:rsidRDefault="0056699A" w:rsidP="0056699A">
            <w:pPr>
              <w:pStyle w:val="ListParagraph"/>
              <w:numPr>
                <w:ilvl w:val="0"/>
                <w:numId w:val="1"/>
              </w:numPr>
            </w:pPr>
            <w:r>
              <w:rPr>
                <w:rFonts w:ascii="Verdana" w:hAnsi="Verdana"/>
                <w:color w:val="000000"/>
                <w:sz w:val="18"/>
                <w:szCs w:val="18"/>
                <w:shd w:val="clear" w:color="auto" w:fill="FFFFFF"/>
              </w:rPr>
              <w:t xml:space="preserve"> DEMA is an acronym for Double Exponential Moving Average, but the calculation is more complex </w:t>
            </w:r>
            <w:r>
              <w:rPr>
                <w:rFonts w:ascii="Verdana" w:hAnsi="Verdana"/>
                <w:color w:val="000000"/>
                <w:sz w:val="18"/>
                <w:szCs w:val="18"/>
                <w:shd w:val="clear" w:color="auto" w:fill="FFFFFF"/>
              </w:rPr>
              <w:lastRenderedPageBreak/>
              <w:t>than just a moving average of a moving average.</w:t>
            </w:r>
          </w:p>
        </w:tc>
        <w:tc>
          <w:tcPr>
            <w:tcW w:w="3081" w:type="dxa"/>
          </w:tcPr>
          <w:p w:rsidR="00655AA6" w:rsidRDefault="0056699A" w:rsidP="00976C87">
            <w:r>
              <w:rPr>
                <w:rFonts w:ascii="Verdana" w:hAnsi="Verdana"/>
                <w:color w:val="000000"/>
                <w:sz w:val="18"/>
                <w:szCs w:val="18"/>
              </w:rPr>
              <w:lastRenderedPageBreak/>
              <w:br/>
            </w:r>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2886075" cy="200025"/>
                  <wp:effectExtent l="0" t="0" r="9525" b="9525"/>
                  <wp:docPr id="23" name="Picture 23" descr="https://www.fmlabs.com/reference/D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mlabs.com/reference/DEMA.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200025"/>
                          </a:xfrm>
                          <a:prstGeom prst="rect">
                            <a:avLst/>
                          </a:prstGeom>
                          <a:noFill/>
                          <a:ln>
                            <a:noFill/>
                          </a:ln>
                        </pic:spPr>
                      </pic:pic>
                    </a:graphicData>
                  </a:graphic>
                </wp:inline>
              </w:drawing>
            </w:r>
          </w:p>
        </w:tc>
      </w:tr>
    </w:tbl>
    <w:p w:rsidR="00655AA6" w:rsidRDefault="00655AA6" w:rsidP="00976C87">
      <w:pPr>
        <w:ind w:firstLine="720"/>
      </w:pPr>
    </w:p>
    <w:tbl>
      <w:tblPr>
        <w:tblStyle w:val="TableGrid"/>
        <w:tblW w:w="0" w:type="auto"/>
        <w:tblLook w:val="04A0" w:firstRow="1" w:lastRow="0" w:firstColumn="1" w:lastColumn="0" w:noHBand="0" w:noVBand="1"/>
      </w:tblPr>
      <w:tblGrid>
        <w:gridCol w:w="1380"/>
        <w:gridCol w:w="1316"/>
        <w:gridCol w:w="6546"/>
      </w:tblGrid>
      <w:tr w:rsidR="0056699A" w:rsidTr="0056699A">
        <w:tc>
          <w:tcPr>
            <w:tcW w:w="3080" w:type="dxa"/>
          </w:tcPr>
          <w:p w:rsidR="0056699A" w:rsidRDefault="0056699A" w:rsidP="00976C87">
            <w:r>
              <w:rPr>
                <w:rFonts w:ascii="Verdana" w:hAnsi="Verdana"/>
                <w:b/>
                <w:bCs/>
                <w:color w:val="000000"/>
                <w:sz w:val="18"/>
                <w:szCs w:val="18"/>
              </w:rPr>
              <w:t>Triangular Moving Average</w:t>
            </w:r>
          </w:p>
        </w:tc>
        <w:tc>
          <w:tcPr>
            <w:tcW w:w="3081" w:type="dxa"/>
          </w:tcPr>
          <w:p w:rsidR="0056699A" w:rsidRDefault="0056699A" w:rsidP="0056699A">
            <w:pPr>
              <w:pStyle w:val="ListParagraph"/>
              <w:numPr>
                <w:ilvl w:val="0"/>
                <w:numId w:val="1"/>
              </w:numPr>
            </w:pPr>
            <w:r>
              <w:rPr>
                <w:rFonts w:ascii="Verdana" w:hAnsi="Verdana"/>
                <w:color w:val="000000"/>
                <w:sz w:val="18"/>
                <w:szCs w:val="18"/>
              </w:rPr>
              <w:br/>
            </w:r>
            <w:r>
              <w:rPr>
                <w:rFonts w:ascii="Verdana" w:hAnsi="Verdana"/>
                <w:color w:val="000000"/>
                <w:sz w:val="18"/>
                <w:szCs w:val="18"/>
                <w:shd w:val="clear" w:color="auto" w:fill="FFFFFF"/>
              </w:rPr>
              <w:t xml:space="preserve">The Triangular Moving Average is a form of Weighted Moving Average wherein the weights are assigned in a triangular pattern. For example, the weights for a 7 period Triangular Moving Average would be 1, 2, 3, 4, 3, 2, </w:t>
            </w:r>
            <w:proofErr w:type="gramStart"/>
            <w:r>
              <w:rPr>
                <w:rFonts w:ascii="Verdana" w:hAnsi="Verdana"/>
                <w:color w:val="000000"/>
                <w:sz w:val="18"/>
                <w:szCs w:val="18"/>
                <w:shd w:val="clear" w:color="auto" w:fill="FFFFFF"/>
              </w:rPr>
              <w:t>1</w:t>
            </w:r>
            <w:proofErr w:type="gramEnd"/>
            <w:r>
              <w:rPr>
                <w:rFonts w:ascii="Verdana" w:hAnsi="Verdana"/>
                <w:color w:val="000000"/>
                <w:sz w:val="18"/>
                <w:szCs w:val="18"/>
                <w:shd w:val="clear" w:color="auto" w:fill="FFFFFF"/>
              </w:rPr>
              <w:t>. This gives more weight to the middle of the time series and less weight to the oldest and newest data. </w:t>
            </w:r>
          </w:p>
        </w:tc>
        <w:tc>
          <w:tcPr>
            <w:tcW w:w="3081" w:type="dxa"/>
          </w:tcPr>
          <w:p w:rsidR="0056699A" w:rsidRDefault="006C5411" w:rsidP="00976C87">
            <w:r>
              <w:rPr>
                <w:rFonts w:ascii="Verdana" w:hAnsi="Verdana"/>
                <w:color w:val="000000"/>
                <w:sz w:val="18"/>
                <w:szCs w:val="18"/>
                <w:shd w:val="clear" w:color="auto" w:fill="FFFFFF"/>
              </w:rPr>
              <w:t>Formula:</w:t>
            </w:r>
            <w:r>
              <w:rPr>
                <w:rFonts w:ascii="Verdana" w:hAnsi="Verdana"/>
                <w:color w:val="000000"/>
                <w:sz w:val="18"/>
                <w:szCs w:val="18"/>
              </w:rPr>
              <w:br/>
            </w:r>
            <w:r>
              <w:rPr>
                <w:noProof/>
                <w:lang w:eastAsia="en-IN"/>
              </w:rPr>
              <w:drawing>
                <wp:inline distT="0" distB="0" distL="0" distR="0">
                  <wp:extent cx="4010025" cy="1295400"/>
                  <wp:effectExtent l="0" t="0" r="9525" b="0"/>
                  <wp:docPr id="25" name="Picture 25" descr="https://www.fmlabs.com/reference/Triangular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mlabs.com/reference/TriangularM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1295400"/>
                          </a:xfrm>
                          <a:prstGeom prst="rect">
                            <a:avLst/>
                          </a:prstGeom>
                          <a:noFill/>
                          <a:ln>
                            <a:noFill/>
                          </a:ln>
                        </pic:spPr>
                      </pic:pic>
                    </a:graphicData>
                  </a:graphic>
                </wp:inline>
              </w:drawing>
            </w:r>
            <w:r w:rsidR="0056699A">
              <w:rPr>
                <w:rFonts w:ascii="Verdana" w:hAnsi="Verdana"/>
                <w:color w:val="000000"/>
                <w:sz w:val="18"/>
                <w:szCs w:val="18"/>
              </w:rPr>
              <w:br/>
            </w:r>
          </w:p>
        </w:tc>
      </w:tr>
    </w:tbl>
    <w:p w:rsidR="0056699A" w:rsidRDefault="0056699A" w:rsidP="00976C87">
      <w:pPr>
        <w:ind w:firstLine="720"/>
      </w:pPr>
    </w:p>
    <w:tbl>
      <w:tblPr>
        <w:tblStyle w:val="TableGrid"/>
        <w:tblW w:w="0" w:type="auto"/>
        <w:tblLook w:val="04A0" w:firstRow="1" w:lastRow="0" w:firstColumn="1" w:lastColumn="0" w:noHBand="0" w:noVBand="1"/>
      </w:tblPr>
      <w:tblGrid>
        <w:gridCol w:w="3080"/>
        <w:gridCol w:w="3081"/>
        <w:gridCol w:w="3081"/>
      </w:tblGrid>
      <w:tr w:rsidR="006C5411" w:rsidTr="006C5411">
        <w:tc>
          <w:tcPr>
            <w:tcW w:w="3080" w:type="dxa"/>
          </w:tcPr>
          <w:p w:rsidR="006C5411" w:rsidRDefault="006C5411" w:rsidP="00976C87">
            <w:r>
              <w:rPr>
                <w:rFonts w:ascii="Georgia" w:hAnsi="Georgia"/>
                <w:color w:val="000000"/>
                <w:sz w:val="27"/>
                <w:szCs w:val="27"/>
                <w:shd w:val="clear" w:color="auto" w:fill="FFFFFF"/>
              </w:rPr>
              <w:lastRenderedPageBreak/>
              <w:t>Kaufman's Adaptive Moving Average (KAMA)</w:t>
            </w:r>
          </w:p>
        </w:tc>
        <w:tc>
          <w:tcPr>
            <w:tcW w:w="3081" w:type="dxa"/>
          </w:tcPr>
          <w:p w:rsidR="006C5411" w:rsidRDefault="006C5411" w:rsidP="00976C87"/>
        </w:tc>
        <w:tc>
          <w:tcPr>
            <w:tcW w:w="3081" w:type="dxa"/>
          </w:tcPr>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Current KAMA = Prior KAMA + SC x (Price - Prior KAMA)</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ER = Change/Volatility</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Change = ABS(Close - Close (10 periods ago))</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Volatility = Sum10(ABS(Close - Prior Close))</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 xml:space="preserve">Volatility is the sum of the absolute value of the last ten price changes (Close - Prior Close). </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SC = [ER x (fastest SC - slowest SC) + slowest SC]2</w:t>
            </w: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p>
          <w:p w:rsidR="006C5411" w:rsidRPr="006C5411" w:rsidRDefault="006C5411" w:rsidP="006C5411">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FFFFFF"/>
                <w:sz w:val="24"/>
                <w:szCs w:val="24"/>
                <w:lang w:eastAsia="en-IN"/>
              </w:rPr>
            </w:pPr>
            <w:r w:rsidRPr="006C5411">
              <w:rPr>
                <w:rFonts w:ascii="Consolas" w:eastAsia="Times New Roman" w:hAnsi="Consolas" w:cs="Courier New"/>
                <w:color w:val="FFFFFF"/>
                <w:sz w:val="24"/>
                <w:szCs w:val="24"/>
                <w:lang w:eastAsia="en-IN"/>
              </w:rPr>
              <w:t>SC = [ER x (2/(2+1) - 2/(30+1)) + 2/(30+1)]2</w:t>
            </w:r>
          </w:p>
          <w:p w:rsidR="006C5411" w:rsidRDefault="006C5411" w:rsidP="00976C87"/>
        </w:tc>
      </w:tr>
    </w:tbl>
    <w:p w:rsidR="006C5411" w:rsidRDefault="006C5411" w:rsidP="00976C87">
      <w:pPr>
        <w:ind w:firstLine="720"/>
      </w:pPr>
    </w:p>
    <w:p w:rsidR="006C5411" w:rsidRDefault="006C5411" w:rsidP="00976C87">
      <w:pPr>
        <w:ind w:firstLine="720"/>
      </w:pPr>
      <w:bookmarkStart w:id="0" w:name="_GoBack"/>
      <w:bookmarkEnd w:id="0"/>
    </w:p>
    <w:sectPr w:rsidR="006C5411">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461" w:rsidRDefault="001B2461" w:rsidP="00290928">
      <w:pPr>
        <w:spacing w:after="0" w:line="240" w:lineRule="auto"/>
      </w:pPr>
      <w:r>
        <w:separator/>
      </w:r>
    </w:p>
  </w:endnote>
  <w:endnote w:type="continuationSeparator" w:id="0">
    <w:p w:rsidR="001B2461" w:rsidRDefault="001B2461" w:rsidP="00290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idelity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461" w:rsidRDefault="001B2461" w:rsidP="00290928">
      <w:pPr>
        <w:spacing w:after="0" w:line="240" w:lineRule="auto"/>
      </w:pPr>
      <w:r>
        <w:separator/>
      </w:r>
    </w:p>
  </w:footnote>
  <w:footnote w:type="continuationSeparator" w:id="0">
    <w:p w:rsidR="001B2461" w:rsidRDefault="001B2461" w:rsidP="00290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8" w:rsidRPr="00290928" w:rsidRDefault="00290928">
    <w:pPr>
      <w:pStyle w:val="Header"/>
      <w:rPr>
        <w:rFonts w:ascii="Bodoni MT Black" w:hAnsi="Bodoni MT Black"/>
        <w:sz w:val="44"/>
        <w:szCs w:val="44"/>
      </w:rPr>
    </w:pPr>
    <w:r w:rsidRPr="00290928">
      <w:rPr>
        <w:rFonts w:ascii="Bodoni MT Black" w:hAnsi="Bodoni MT Black"/>
        <w:sz w:val="44"/>
        <w:szCs w:val="44"/>
      </w:rPr>
      <w:t>TECHNICAL INDICATORS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280B"/>
    <w:multiLevelType w:val="hybridMultilevel"/>
    <w:tmpl w:val="32E60588"/>
    <w:lvl w:ilvl="0" w:tplc="1D0E01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53536E"/>
    <w:multiLevelType w:val="hybridMultilevel"/>
    <w:tmpl w:val="5DB43240"/>
    <w:lvl w:ilvl="0" w:tplc="4F5CFE96">
      <w:numFmt w:val="bullet"/>
      <w:lvlText w:val=""/>
      <w:lvlJc w:val="left"/>
      <w:pPr>
        <w:ind w:left="420" w:hanging="360"/>
      </w:pPr>
      <w:rPr>
        <w:rFonts w:ascii="Symbol" w:eastAsiaTheme="minorHAnsi" w:hAnsi="Symbol"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87"/>
    <w:rsid w:val="0014331A"/>
    <w:rsid w:val="0016220C"/>
    <w:rsid w:val="001B2461"/>
    <w:rsid w:val="00290928"/>
    <w:rsid w:val="002B6ABF"/>
    <w:rsid w:val="00370464"/>
    <w:rsid w:val="003953CA"/>
    <w:rsid w:val="00494A03"/>
    <w:rsid w:val="0056699A"/>
    <w:rsid w:val="005846A5"/>
    <w:rsid w:val="005E1844"/>
    <w:rsid w:val="00655AA6"/>
    <w:rsid w:val="006C5411"/>
    <w:rsid w:val="006C623C"/>
    <w:rsid w:val="008E3BB0"/>
    <w:rsid w:val="00947F40"/>
    <w:rsid w:val="00953488"/>
    <w:rsid w:val="00976C87"/>
    <w:rsid w:val="009B0D07"/>
    <w:rsid w:val="00A666A7"/>
    <w:rsid w:val="00B4269C"/>
    <w:rsid w:val="00B70DF6"/>
    <w:rsid w:val="00BF5F89"/>
    <w:rsid w:val="00C8079A"/>
    <w:rsid w:val="00C854D5"/>
    <w:rsid w:val="00D5312E"/>
    <w:rsid w:val="00E307A8"/>
    <w:rsid w:val="00E618AA"/>
    <w:rsid w:val="00F800D1"/>
    <w:rsid w:val="00F93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0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07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6C87"/>
    <w:pPr>
      <w:ind w:left="720"/>
      <w:contextualSpacing/>
    </w:pPr>
  </w:style>
  <w:style w:type="paragraph" w:styleId="BalloonText">
    <w:name w:val="Balloon Text"/>
    <w:basedOn w:val="Normal"/>
    <w:link w:val="BalloonTextChar"/>
    <w:uiPriority w:val="99"/>
    <w:semiHidden/>
    <w:unhideWhenUsed/>
    <w:rsid w:val="00F9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6D"/>
    <w:rPr>
      <w:rFonts w:ascii="Tahoma" w:hAnsi="Tahoma" w:cs="Tahoma"/>
      <w:sz w:val="16"/>
      <w:szCs w:val="16"/>
    </w:rPr>
  </w:style>
  <w:style w:type="paragraph" w:styleId="Header">
    <w:name w:val="header"/>
    <w:basedOn w:val="Normal"/>
    <w:link w:val="HeaderChar"/>
    <w:uiPriority w:val="99"/>
    <w:unhideWhenUsed/>
    <w:rsid w:val="00290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928"/>
  </w:style>
  <w:style w:type="paragraph" w:styleId="Footer">
    <w:name w:val="footer"/>
    <w:basedOn w:val="Normal"/>
    <w:link w:val="FooterChar"/>
    <w:uiPriority w:val="99"/>
    <w:unhideWhenUsed/>
    <w:rsid w:val="00290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928"/>
  </w:style>
  <w:style w:type="character" w:customStyle="1" w:styleId="Heading3Char">
    <w:name w:val="Heading 3 Char"/>
    <w:basedOn w:val="DefaultParagraphFont"/>
    <w:link w:val="Heading3"/>
    <w:uiPriority w:val="9"/>
    <w:rsid w:val="00E307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07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307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307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3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7A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0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07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6C87"/>
    <w:pPr>
      <w:ind w:left="720"/>
      <w:contextualSpacing/>
    </w:pPr>
  </w:style>
  <w:style w:type="paragraph" w:styleId="BalloonText">
    <w:name w:val="Balloon Text"/>
    <w:basedOn w:val="Normal"/>
    <w:link w:val="BalloonTextChar"/>
    <w:uiPriority w:val="99"/>
    <w:semiHidden/>
    <w:unhideWhenUsed/>
    <w:rsid w:val="00F9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6D"/>
    <w:rPr>
      <w:rFonts w:ascii="Tahoma" w:hAnsi="Tahoma" w:cs="Tahoma"/>
      <w:sz w:val="16"/>
      <w:szCs w:val="16"/>
    </w:rPr>
  </w:style>
  <w:style w:type="paragraph" w:styleId="Header">
    <w:name w:val="header"/>
    <w:basedOn w:val="Normal"/>
    <w:link w:val="HeaderChar"/>
    <w:uiPriority w:val="99"/>
    <w:unhideWhenUsed/>
    <w:rsid w:val="00290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928"/>
  </w:style>
  <w:style w:type="paragraph" w:styleId="Footer">
    <w:name w:val="footer"/>
    <w:basedOn w:val="Normal"/>
    <w:link w:val="FooterChar"/>
    <w:uiPriority w:val="99"/>
    <w:unhideWhenUsed/>
    <w:rsid w:val="00290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928"/>
  </w:style>
  <w:style w:type="character" w:customStyle="1" w:styleId="Heading3Char">
    <w:name w:val="Heading 3 Char"/>
    <w:basedOn w:val="DefaultParagraphFont"/>
    <w:link w:val="Heading3"/>
    <w:uiPriority w:val="9"/>
    <w:rsid w:val="00E307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07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307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307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3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7A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50568">
      <w:bodyDiv w:val="1"/>
      <w:marLeft w:val="0"/>
      <w:marRight w:val="0"/>
      <w:marTop w:val="0"/>
      <w:marBottom w:val="0"/>
      <w:divBdr>
        <w:top w:val="none" w:sz="0" w:space="0" w:color="auto"/>
        <w:left w:val="none" w:sz="0" w:space="0" w:color="auto"/>
        <w:bottom w:val="none" w:sz="0" w:space="0" w:color="auto"/>
        <w:right w:val="none" w:sz="0" w:space="0" w:color="auto"/>
      </w:divBdr>
    </w:div>
    <w:div w:id="1174304069">
      <w:bodyDiv w:val="1"/>
      <w:marLeft w:val="0"/>
      <w:marRight w:val="0"/>
      <w:marTop w:val="0"/>
      <w:marBottom w:val="0"/>
      <w:divBdr>
        <w:top w:val="none" w:sz="0" w:space="0" w:color="auto"/>
        <w:left w:val="none" w:sz="0" w:space="0" w:color="auto"/>
        <w:bottom w:val="none" w:sz="0" w:space="0" w:color="auto"/>
        <w:right w:val="none" w:sz="0" w:space="0" w:color="auto"/>
      </w:divBdr>
    </w:div>
    <w:div w:id="1179463669">
      <w:bodyDiv w:val="1"/>
      <w:marLeft w:val="0"/>
      <w:marRight w:val="0"/>
      <w:marTop w:val="0"/>
      <w:marBottom w:val="0"/>
      <w:divBdr>
        <w:top w:val="none" w:sz="0" w:space="0" w:color="auto"/>
        <w:left w:val="none" w:sz="0" w:space="0" w:color="auto"/>
        <w:bottom w:val="none" w:sz="0" w:space="0" w:color="auto"/>
        <w:right w:val="none" w:sz="0" w:space="0" w:color="auto"/>
      </w:divBdr>
    </w:div>
    <w:div w:id="1460107488">
      <w:bodyDiv w:val="1"/>
      <w:marLeft w:val="0"/>
      <w:marRight w:val="0"/>
      <w:marTop w:val="0"/>
      <w:marBottom w:val="0"/>
      <w:divBdr>
        <w:top w:val="none" w:sz="0" w:space="0" w:color="auto"/>
        <w:left w:val="none" w:sz="0" w:space="0" w:color="auto"/>
        <w:bottom w:val="none" w:sz="0" w:space="0" w:color="auto"/>
        <w:right w:val="none" w:sz="0" w:space="0" w:color="auto"/>
      </w:divBdr>
    </w:div>
    <w:div w:id="1673602613">
      <w:bodyDiv w:val="1"/>
      <w:marLeft w:val="0"/>
      <w:marRight w:val="0"/>
      <w:marTop w:val="0"/>
      <w:marBottom w:val="0"/>
      <w:divBdr>
        <w:top w:val="none" w:sz="0" w:space="0" w:color="auto"/>
        <w:left w:val="none" w:sz="0" w:space="0" w:color="auto"/>
        <w:bottom w:val="none" w:sz="0" w:space="0" w:color="auto"/>
        <w:right w:val="none" w:sz="0" w:space="0" w:color="auto"/>
      </w:divBdr>
    </w:div>
    <w:div w:id="1964379143">
      <w:bodyDiv w:val="1"/>
      <w:marLeft w:val="0"/>
      <w:marRight w:val="0"/>
      <w:marTop w:val="0"/>
      <w:marBottom w:val="0"/>
      <w:divBdr>
        <w:top w:val="none" w:sz="0" w:space="0" w:color="auto"/>
        <w:left w:val="none" w:sz="0" w:space="0" w:color="auto"/>
        <w:bottom w:val="none" w:sz="0" w:space="0" w:color="auto"/>
        <w:right w:val="none" w:sz="0" w:space="0" w:color="auto"/>
      </w:divBdr>
    </w:div>
    <w:div w:id="2083142264">
      <w:bodyDiv w:val="1"/>
      <w:marLeft w:val="0"/>
      <w:marRight w:val="0"/>
      <w:marTop w:val="0"/>
      <w:marBottom w:val="0"/>
      <w:divBdr>
        <w:top w:val="none" w:sz="0" w:space="0" w:color="auto"/>
        <w:left w:val="none" w:sz="0" w:space="0" w:color="auto"/>
        <w:bottom w:val="none" w:sz="0" w:space="0" w:color="auto"/>
        <w:right w:val="none" w:sz="0" w:space="0" w:color="auto"/>
      </w:divBdr>
      <w:divsChild>
        <w:div w:id="44925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microsoft.com/office/2007/relationships/stylesWithEffects" Target="stylesWithEffect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dc:creator>
  <cp:keywords/>
  <dc:description/>
  <cp:lastModifiedBy>Ritika</cp:lastModifiedBy>
  <cp:revision>6</cp:revision>
  <dcterms:created xsi:type="dcterms:W3CDTF">2018-12-17T15:45:00Z</dcterms:created>
  <dcterms:modified xsi:type="dcterms:W3CDTF">2018-12-18T21:09:00Z</dcterms:modified>
</cp:coreProperties>
</file>