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Microsoft YaHei" w:hAnsi="Microsoft YaHei" w:eastAsia="Microsoft YaHei"/>
          <w:b/>
          <w:color w:val="0B2545"/>
          <w:sz w:val="46"/>
        </w:rPr>
        <w:t>员工手册与休假制度</w:t>
      </w:r>
    </w:p>
    <w:p>
      <w:pPr>
        <w:spacing w:after="280"/>
      </w:pPr>
      <w:r>
        <w:rPr>
          <w:rFonts w:ascii="Microsoft YaHei" w:hAnsi="Microsoft YaHei" w:eastAsia="Microsoft YaHei"/>
          <w:color w:val="595959"/>
          <w:sz w:val="20"/>
        </w:rPr>
        <w:t>资料代号：HR-LEAVE-10 | 资料类型：演示检索资料</w:t>
      </w:r>
    </w:p>
    <w:p>
      <w:pPr>
        <w:pStyle w:val="Heading1"/>
      </w:pPr>
      <w:r>
        <w:t>资料摘要</w:t>
      </w:r>
    </w:p>
    <w:p>
      <w:r>
        <w:t>员工手册与休假制度的演示检索资料（HR-LEAVE-10）。</w:t>
      </w:r>
    </w:p>
    <w:p>
      <w:pPr>
        <w:pStyle w:val="Heading1"/>
      </w:pPr>
      <w:r>
        <w:t>关键事实速览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</w:rPr>
              <w:t>项目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</w:rPr>
              <w:t>内容</w:t>
            </w:r>
          </w:p>
        </w:tc>
      </w:tr>
      <w:tr>
        <w:tc>
          <w:tcPr>
            <w:tcW w:type="dxa" w:w="2700"/>
          </w:tcPr>
          <w:p>
            <w:r>
              <w:rPr>
                <w:rFonts w:ascii="Microsoft YaHei" w:hAnsi="Microsoft YaHei" w:eastAsia="Microsoft YaHei"/>
              </w:rPr>
              <w:t>第 1 部分</w:t>
            </w:r>
          </w:p>
        </w:tc>
        <w:tc>
          <w:tcPr>
            <w:tcW w:type="dxa" w:w="6660"/>
          </w:tcPr>
          <w:p>
            <w:r>
              <w:rPr>
                <w:rFonts w:ascii="Microsoft YaHei" w:hAnsi="Microsoft YaHei" w:eastAsia="Microsoft YaHei"/>
              </w:rPr>
              <w:t>一、资料用途与阅读边界。</w:t>
            </w:r>
          </w:p>
        </w:tc>
      </w:tr>
      <w:tr>
        <w:tc>
          <w:tcPr>
            <w:tcW w:type="dxa" w:w="2700"/>
          </w:tcPr>
          <w:p>
            <w:r>
              <w:rPr>
                <w:rFonts w:ascii="Microsoft YaHei" w:hAnsi="Microsoft YaHei" w:eastAsia="Microsoft YaHei"/>
              </w:rPr>
              <w:t>第 2 部分</w:t>
            </w:r>
          </w:p>
        </w:tc>
        <w:tc>
          <w:tcPr>
            <w:tcW w:type="dxa" w:w="6660"/>
          </w:tcPr>
          <w:p>
            <w:r>
              <w:rPr>
                <w:rFonts w:ascii="Microsoft YaHei" w:hAnsi="Microsoft YaHei" w:eastAsia="Microsoft YaHei"/>
              </w:rPr>
              <w:t>二、核心规则与可核对事实。</w:t>
            </w:r>
          </w:p>
        </w:tc>
      </w:tr>
      <w:tr>
        <w:tc>
          <w:tcPr>
            <w:tcW w:type="dxa" w:w="2700"/>
          </w:tcPr>
          <w:p>
            <w:r>
              <w:rPr>
                <w:rFonts w:ascii="Microsoft YaHei" w:hAnsi="Microsoft YaHei" w:eastAsia="Microsoft YaHei"/>
              </w:rPr>
              <w:t>第 3 部分</w:t>
            </w:r>
          </w:p>
        </w:tc>
        <w:tc>
          <w:tcPr>
            <w:tcW w:type="dxa" w:w="6660"/>
          </w:tcPr>
          <w:p>
            <w:r>
              <w:rPr>
                <w:rFonts w:ascii="Microsoft YaHei" w:hAnsi="Microsoft YaHei" w:eastAsia="Microsoft YaHei"/>
              </w:rPr>
              <w:t>三、执行提示与关联资料。</w:t>
            </w:r>
          </w:p>
        </w:tc>
      </w:tr>
    </w:tbl>
    <w:p>
      <w:pPr>
        <w:pStyle w:val="Heading1"/>
      </w:pPr>
      <w:r>
        <w:t>详细说明</w:t>
      </w:r>
    </w:p>
    <w:p>
      <w:pPr>
        <w:pStyle w:val="Heading2"/>
      </w:pPr>
      <w:r>
        <w:t>第 1 部分</w:t>
      </w:r>
    </w:p>
    <w:p>
      <w:r>
        <w:t>一、资料用途与阅读边界。员工手册与休假制度的文档代号是 HR-LEAVE-10，它是一份专为演示知识库准备的虚构中文资料。资料面向学习者、演示人员和维护人员，目的不是替代真实业务制度，而是让提问者能够根据原文核对术语、数字、日期和状态。回答前应先识别问题的范围，再从本文件或明确关联的文件中检索证据；资料没有写出的结论必须说明知识库缺少答案，不能靠常识补写。内容不含真实账号、密钥、客户信息或公司机密，后续生成时应保持 UTF-8 中文可读、标题清晰，并保留文件名以便验证引用来源。</w:t>
      </w:r>
    </w:p>
    <w:p>
      <w:pPr>
        <w:pStyle w:val="Heading2"/>
      </w:pPr>
      <w:r>
        <w:t>第 2 部分</w:t>
      </w:r>
    </w:p>
    <w:p>
      <w:r>
        <w:t>二、核心规则与可核对事实。满一年年假 10 天；病假超过 2 天需要证明；调休 90 天后失效；请假在前一工作日 16:00 前提交。这些事实需要作为完整流程理解：执行前检查前提，执行中记录状态，执行后根据结果决定下一步。数字问题必须带上单位和条件，日期问题必须带上对应事项，状态问题必须区分可继续处理和需要排查两种结果。引用本资料时，应同时给出文件名与能定位规则的摘录，不能只留下脱离语境的短句。演示人员可以先针对一个精确事实提问，再把本文件与关联文件组合提问，以观察检索、重排序和回答是否保持一致。</w:t>
      </w:r>
    </w:p>
    <w:p>
      <w:pPr>
        <w:pStyle w:val="Heading2"/>
      </w:pPr>
      <w:r>
        <w:t>第 3 部分</w:t>
      </w:r>
    </w:p>
    <w:p>
      <w:r>
        <w:t>三、执行提示与关联资料。行动安排可与《项目会议纪要与行动项.pdf》核对，账号处置仍以《IT账号安全规范.txt》为准。当发现服务未就绪、资料处理失败或规则冲突时，应保留错误原因并按排查路径处理，而不是猜测成功结果。每次演示都应把测试问题与知识资料分开保存，测试问题及预期答案不得上传到知识库，避免答案文本反向污染检索。此段同时提醒使用者：示例中的名称、价格、日期和时限仅为教学用虚构数据；若问题超出本资料范围，正确的通过标准是明确承认缺少依据，并请提问者补充可检索的材料。为便于复盘，每次问答还应记录问题、命中的资料代号、引用摘录和未覆盖的边界，作为下一轮资料改进的依据。记录应采用清晰、可复现的中文描述，避免把推测写成事实；需要多人协作时，应标明负责角色、处理时间和复核结果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</w:rPr>
      <w:t xml:space="preserve">第 </w:t>
    </w:r>
    <w:fldSimple w:instr="PAGE"/>
    <w:r>
      <w:rPr>
        <w:rFonts w:ascii="Microsoft YaHei" w:hAnsi="Microsoft YaHei" w:eastAsia="Microsoft YaHei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95959"/>
        <w:sz w:val="18"/>
      </w:rPr>
      <w:t>演示知识资料 | HR-LEAVE-10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