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Interarch Building Solutions Ltd</w:t>
      </w:r>
    </w:p>
    <w:p>
      <w:pPr>
        <w:pStyle w:val="Heading1"/>
      </w:pPr>
      <w:r>
        <w:t>1. Company Overview</w:t>
      </w:r>
    </w:p>
    <w:p>
      <w:r>
        <w:t>Founded in 1983 and headquartered in Noida, Interarch Building Solutions Ltd is a leading provider of turnkey pre-engineered steel construction solutions in India. The company offers a wide range of products and services, including pre-engineered steel buildings (PEB), roofing and cladding systems, non-industrial buildings, and metal false ceilings. Interarch operates five state-of-the-art manufacturing facilities across India and serves industrial, commercial, and infrastructure clients. The company is recognized for its integrated design, engineering, manufacturing, and project management capabilities, and is nearly debt-free. Interarch was listed on the NSE and BSE in August 2024.</w:t>
      </w:r>
    </w:p>
    <w:p>
      <w:pPr>
        <w:pStyle w:val="Heading1"/>
      </w:pPr>
      <w:r>
        <w:t>2. Growth Prospects</w:t>
      </w:r>
    </w:p>
    <w:p>
      <w:r>
        <w:t>Interarch has demonstrated robust growth, with revenue from operations crossing ₹1,454 crore in FY25, up 12% year-on-year. The company’s order book stood at ₹1,695 crore as of July 2025. Recent expansions include a new manufacturing plant in Athivaram, Andhra Pradesh, and an announced facility in Kheda, Gujarat. The management is focused on operational efficiency, technology integration, and timely project execution. With increasing demand for sustainable construction and pre-engineered building systems, Interarch is well-positioned to capitalize on sector growth.</w:t>
      </w:r>
    </w:p>
    <w:p>
      <w:pPr>
        <w:pStyle w:val="Heading1"/>
      </w:pPr>
      <w:r>
        <w:t>3. Management Team</w:t>
      </w:r>
    </w:p>
    <w:p>
      <w:pPr/>
      <w:r>
        <w:t>Managing Director: Arvind Nanda</w:t>
      </w:r>
    </w:p>
    <w:p>
      <w:pPr/>
      <w:r>
        <w:t>CEO: Manish Kumar Garg</w:t>
      </w:r>
    </w:p>
    <w:p>
      <w:pPr/>
      <w:r>
        <w:t>Whole-Time Director &amp; CTO: Gautam Suri</w:t>
      </w:r>
    </w:p>
    <w:p>
      <w:pPr/>
      <w:r>
        <w:t>CFO: Pushpendra Kumar Bansal</w:t>
      </w:r>
    </w:p>
    <w:p>
      <w:pPr/>
      <w:r>
        <w:t>COO: Navaz Cheriya Malikakkal</w:t>
      </w:r>
    </w:p>
    <w:p>
      <w:pPr/>
      <w:r>
        <w:t>President (Corporate Finance &amp; Strategy): Anil Kumar Chandani</w:t>
      </w:r>
    </w:p>
    <w:p>
      <w:pPr/>
      <w:r>
        <w:t>President (Sales &amp; Marketing): Vikas Kaushal</w:t>
      </w:r>
    </w:p>
    <w:p>
      <w:pPr/>
      <w:r>
        <w:t>President (Operations): Mahesh Verma</w:t>
      </w:r>
    </w:p>
    <w:p>
      <w:pPr/>
      <w:r>
        <w:t>Executive Director: Viraj Nanda</w:t>
      </w:r>
    </w:p>
    <w:p>
      <w:pPr/>
      <w:r>
        <w:t>Company Secretary &amp; Compliance Officer: Nidhi Goel</w:t>
      </w:r>
    </w:p>
    <w:p>
      <w:pPr/>
      <w:r>
        <w:t>Board includes: Sonali Bhagwati Dalal (Chairperson &amp; Independent Director), Mohit Gujral, Sanjiv Bhasin, Anoop Kumar Mittal, Aditya Vij, Ishaan Suri</w:t>
      </w:r>
    </w:p>
    <w:p>
      <w:pPr>
        <w:pStyle w:val="Heading1"/>
      </w:pPr>
      <w:r>
        <w:t>4. Recent Commentary</w:t>
      </w:r>
    </w:p>
    <w:p>
      <w:pPr/>
      <w:r>
        <w:t>Q2 FY26 results (September 2025) showed revenue up 52% YoY to ₹491.1 crore, EBITDA up 65% to ₹41.7 crore, and net profit up 56% to ₹32.28 crore. EPS for the quarter was ₹19.25.</w:t>
      </w:r>
    </w:p>
    <w:p>
      <w:pPr/>
      <w:r>
        <w:t>The company secured a major order worth ₹77 crore from Amara Raja Infra in June 2025.</w:t>
      </w:r>
    </w:p>
    <w:p>
      <w:pPr/>
      <w:r>
        <w:t>Interarch announced a ₹100 crore investment in a new Andhra Pradesh plant and a ₹70 crore investment in Gujarat.</w:t>
      </w:r>
    </w:p>
    <w:p>
      <w:pPr/>
      <w:r>
        <w:t>Management commentary highlights focus on capacity expansion, innovation, and maintaining a debt-free status.</w:t>
      </w:r>
    </w:p>
    <w:p>
      <w:pPr/>
      <w:r>
        <w:t>The stock has tripled since its IPO in August 2024, reflecting strong investor confidence.</w:t>
      </w:r>
    </w:p>
    <w:p>
      <w:pPr>
        <w:pStyle w:val="Heading1"/>
      </w:pPr>
      <w:r>
        <w:t>5.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 (FY25/FY26)</w:t>
            </w:r>
          </w:p>
        </w:tc>
      </w:tr>
      <w:tr>
        <w:tc>
          <w:tcPr>
            <w:tcW w:type="dxa" w:w="4320"/>
          </w:tcPr>
          <w:p>
            <w:r>
              <w:t>Revenue</w:t>
            </w:r>
          </w:p>
        </w:tc>
        <w:tc>
          <w:tcPr>
            <w:tcW w:type="dxa" w:w="4320"/>
          </w:tcPr>
          <w:p>
            <w:r>
              <w:t>₹1,454 crore (FY25); ₹491.1 crore (Q2 FY26)</w:t>
            </w:r>
          </w:p>
        </w:tc>
      </w:tr>
      <w:tr>
        <w:tc>
          <w:tcPr>
            <w:tcW w:type="dxa" w:w="4320"/>
          </w:tcPr>
          <w:p>
            <w:r>
              <w:t>Net Profit</w:t>
            </w:r>
          </w:p>
        </w:tc>
        <w:tc>
          <w:tcPr>
            <w:tcW w:type="dxa" w:w="4320"/>
          </w:tcPr>
          <w:p>
            <w:r>
              <w:t>₹107.8 crore (FY25); ₹32.28 crore (Q2 FY26)</w:t>
            </w:r>
          </w:p>
        </w:tc>
      </w:tr>
      <w:tr>
        <w:tc>
          <w:tcPr>
            <w:tcW w:type="dxa" w:w="4320"/>
          </w:tcPr>
          <w:p>
            <w:r>
              <w:t>EPS</w:t>
            </w:r>
          </w:p>
        </w:tc>
        <w:tc>
          <w:tcPr>
            <w:tcW w:type="dxa" w:w="4320"/>
          </w:tcPr>
          <w:p>
            <w:r>
              <w:t>₹64.80 (FY25); ₹19.25 (Q2 FY26)</w:t>
            </w:r>
          </w:p>
        </w:tc>
      </w:tr>
      <w:tr>
        <w:tc>
          <w:tcPr>
            <w:tcW w:type="dxa" w:w="4320"/>
          </w:tcPr>
          <w:p>
            <w:r>
              <w:t>ROE</w:t>
            </w:r>
          </w:p>
        </w:tc>
        <w:tc>
          <w:tcPr>
            <w:tcW w:type="dxa" w:w="4320"/>
          </w:tcPr>
          <w:p>
            <w:r>
              <w:t>18.0% (TTM)</w:t>
            </w:r>
          </w:p>
        </w:tc>
      </w:tr>
      <w:tr>
        <w:tc>
          <w:tcPr>
            <w:tcW w:type="dxa" w:w="4320"/>
          </w:tcPr>
          <w:p>
            <w:r>
              <w:t>ROCE</w:t>
            </w:r>
          </w:p>
        </w:tc>
        <w:tc>
          <w:tcPr>
            <w:tcW w:type="dxa" w:w="4320"/>
          </w:tcPr>
          <w:p>
            <w:r>
              <w:t>24.8% (TTM)</w:t>
            </w:r>
          </w:p>
        </w:tc>
      </w:tr>
      <w:tr>
        <w:tc>
          <w:tcPr>
            <w:tcW w:type="dxa" w:w="4320"/>
          </w:tcPr>
          <w:p>
            <w:r>
              <w:t>Debt-Equity Ratio</w:t>
            </w:r>
          </w:p>
        </w:tc>
        <w:tc>
          <w:tcPr>
            <w:tcW w:type="dxa" w:w="4320"/>
          </w:tcPr>
          <w:p>
            <w:r>
              <w:t>~0.01 (almost debt-free)</w:t>
            </w:r>
          </w:p>
        </w:tc>
      </w:tr>
      <w:tr>
        <w:tc>
          <w:tcPr>
            <w:tcW w:type="dxa" w:w="4320"/>
          </w:tcPr>
          <w:p>
            <w:r>
              <w:t>Market Cap</w:t>
            </w:r>
          </w:p>
        </w:tc>
        <w:tc>
          <w:tcPr>
            <w:tcW w:type="dxa" w:w="4320"/>
          </w:tcPr>
          <w:p>
            <w:r>
              <w:t>~₹3,700 crore (Nov 2025)</w:t>
            </w:r>
          </w:p>
        </w:tc>
      </w:tr>
      <w:tr>
        <w:tc>
          <w:tcPr>
            <w:tcW w:type="dxa" w:w="4320"/>
          </w:tcPr>
          <w:p>
            <w:r>
              <w:t>Book Value per Share</w:t>
            </w:r>
          </w:p>
        </w:tc>
        <w:tc>
          <w:tcPr>
            <w:tcW w:type="dxa" w:w="4320"/>
          </w:tcPr>
          <w:p>
            <w:r>
              <w:t>₹452</w:t>
            </w:r>
          </w:p>
        </w:tc>
      </w:tr>
      <w:tr>
        <w:tc>
          <w:tcPr>
            <w:tcW w:type="dxa" w:w="4320"/>
          </w:tcPr>
          <w:p>
            <w:r>
              <w:t>Dividend</w:t>
            </w:r>
          </w:p>
        </w:tc>
        <w:tc>
          <w:tcPr>
            <w:tcW w:type="dxa" w:w="4320"/>
          </w:tcPr>
          <w:p>
            <w:r>
              <w:t>₹12.5 per share (FY25, maiden dividend)</w:t>
            </w:r>
          </w:p>
        </w:tc>
      </w:tr>
      <w:tr>
        <w:tc>
          <w:tcPr>
            <w:tcW w:type="dxa" w:w="4320"/>
          </w:tcPr>
          <w:p>
            <w:r>
              <w:t>Order Book</w:t>
            </w:r>
          </w:p>
        </w:tc>
        <w:tc>
          <w:tcPr>
            <w:tcW w:type="dxa" w:w="4320"/>
          </w:tcPr>
          <w:p>
            <w:r>
              <w:t>₹1,695 crore (July 2025)</w:t>
            </w:r>
          </w:p>
        </w:tc>
      </w:tr>
      <w:tr>
        <w:tc>
          <w:tcPr>
            <w:tcW w:type="dxa" w:w="4320"/>
          </w:tcPr>
          <w:p>
            <w:r>
              <w:t>Strength</w:t>
            </w:r>
          </w:p>
        </w:tc>
        <w:tc>
          <w:tcPr>
            <w:tcW w:type="dxa" w:w="4320"/>
          </w:tcPr>
          <w:p>
            <w:r>
              <w:t>High growth, strong order book, debt-free, sector leadership</w:t>
            </w:r>
          </w:p>
        </w:tc>
      </w:tr>
      <w:tr>
        <w:tc>
          <w:tcPr>
            <w:tcW w:type="dxa" w:w="4320"/>
          </w:tcPr>
          <w:p>
            <w:r>
              <w:t>Concerns</w:t>
            </w:r>
          </w:p>
        </w:tc>
        <w:tc>
          <w:tcPr>
            <w:tcW w:type="dxa" w:w="4320"/>
          </w:tcPr>
          <w:p>
            <w:r>
              <w:t>High valuation (P/E ~32), recent promoter holding decrease, cyclical sector risks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