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27E02" w14:textId="77777777" w:rsidR="00B067EB" w:rsidRPr="00B067EB" w:rsidRDefault="00B067EB" w:rsidP="00B067EB">
      <w:pPr>
        <w:rPr>
          <w:b/>
          <w:bCs/>
        </w:rPr>
      </w:pPr>
      <w:r w:rsidRPr="00B067EB">
        <w:rPr>
          <w:b/>
          <w:bCs/>
        </w:rPr>
        <w:t>Equity Research Report: Orient Cement Ltd (NSE: ORIENTCEM)</w:t>
      </w:r>
    </w:p>
    <w:p w14:paraId="1608C588" w14:textId="77777777" w:rsidR="00B067EB" w:rsidRPr="00B067EB" w:rsidRDefault="00B067EB" w:rsidP="00B067EB">
      <w:r w:rsidRPr="00B067EB">
        <w:pict w14:anchorId="5ABB5F30">
          <v:rect id="_x0000_i1167" style="width:0;height:1.5pt" o:hralign="center" o:hrstd="t" o:hr="t" fillcolor="#a0a0a0" stroked="f"/>
        </w:pict>
      </w:r>
    </w:p>
    <w:p w14:paraId="698EABB9" w14:textId="77777777" w:rsidR="00B067EB" w:rsidRPr="00B067EB" w:rsidRDefault="00B067EB" w:rsidP="00B067EB">
      <w:pPr>
        <w:rPr>
          <w:b/>
          <w:bCs/>
        </w:rPr>
      </w:pPr>
      <w:r w:rsidRPr="00B067EB">
        <w:rPr>
          <w:b/>
          <w:bCs/>
        </w:rPr>
        <w:t>1. Company Overview</w:t>
      </w:r>
    </w:p>
    <w:p w14:paraId="215ED6B0" w14:textId="77777777" w:rsidR="00B067EB" w:rsidRPr="00B067EB" w:rsidRDefault="00B067EB" w:rsidP="00B067EB">
      <w:pPr>
        <w:rPr>
          <w:b/>
          <w:bCs/>
        </w:rPr>
      </w:pPr>
      <w:r w:rsidRPr="00B067EB">
        <w:rPr>
          <w:b/>
          <w:bCs/>
        </w:rPr>
        <w:t>Introduction</w:t>
      </w:r>
    </w:p>
    <w:p w14:paraId="4E5EE8CA" w14:textId="77777777" w:rsidR="00B067EB" w:rsidRPr="00B067EB" w:rsidRDefault="00B067EB" w:rsidP="00B067EB">
      <w:r w:rsidRPr="00B067EB">
        <w:t>Orient Cement Ltd, a part of the CK Birla Group, is a mid-sized cement manufacturer in India, operating primarily in the southern and central regions. Established in 1979, the company produces Ordinary Portland Cement (OPC) and Pozzolana Portland Cement (PPC) under the brand name "Birla A1." Its business model focuses on cost efficiency, premium branding, and regional market penetration. The company operates three integrated cement plants with a total capacity of 8.5 million tonnes per annum (MTPA) as of FY25, located in Telangana (</w:t>
      </w:r>
      <w:proofErr w:type="spellStart"/>
      <w:r w:rsidRPr="00B067EB">
        <w:t>Devapur</w:t>
      </w:r>
      <w:proofErr w:type="spellEnd"/>
      <w:r w:rsidRPr="00B067EB">
        <w:t>), Karnataka (</w:t>
      </w:r>
      <w:proofErr w:type="spellStart"/>
      <w:r w:rsidRPr="00B067EB">
        <w:t>Chittapur</w:t>
      </w:r>
      <w:proofErr w:type="spellEnd"/>
      <w:r w:rsidRPr="00B067EB">
        <w:t>), and Maharashtra (Jalgaon).</w:t>
      </w:r>
    </w:p>
    <w:p w14:paraId="2A1578D5" w14:textId="77777777" w:rsidR="00B067EB" w:rsidRPr="00B067EB" w:rsidRDefault="00B067EB" w:rsidP="00B067EB">
      <w:pPr>
        <w:rPr>
          <w:b/>
          <w:bCs/>
        </w:rPr>
      </w:pPr>
      <w:r w:rsidRPr="00B067EB">
        <w:rPr>
          <w:b/>
          <w:bCs/>
        </w:rPr>
        <w:t>Revenue Breakdown</w:t>
      </w:r>
    </w:p>
    <w:p w14:paraId="14C948FE" w14:textId="77777777" w:rsidR="00B067EB" w:rsidRPr="00B067EB" w:rsidRDefault="00B067EB" w:rsidP="00B067EB">
      <w:r w:rsidRPr="00B067EB">
        <w:t>Based on publicly available data from annual reports:</w:t>
      </w:r>
    </w:p>
    <w:p w14:paraId="0901E1F0" w14:textId="77777777" w:rsidR="00B067EB" w:rsidRPr="00B067EB" w:rsidRDefault="00B067EB" w:rsidP="00B067EB">
      <w:pPr>
        <w:numPr>
          <w:ilvl w:val="0"/>
          <w:numId w:val="1"/>
        </w:numPr>
      </w:pPr>
      <w:r w:rsidRPr="00B067EB">
        <w:rPr>
          <w:b/>
          <w:bCs/>
        </w:rPr>
        <w:t>Product Segments (FY24)</w:t>
      </w:r>
      <w:r w:rsidRPr="00B067EB">
        <w:t>: ~60% of revenue from PPC, ~35% from OPC, and ~5% from other products like blended cements.</w:t>
      </w:r>
    </w:p>
    <w:p w14:paraId="2845675E" w14:textId="77777777" w:rsidR="00B067EB" w:rsidRPr="00B067EB" w:rsidRDefault="00B067EB" w:rsidP="00B067EB">
      <w:pPr>
        <w:numPr>
          <w:ilvl w:val="0"/>
          <w:numId w:val="1"/>
        </w:numPr>
      </w:pPr>
      <w:r w:rsidRPr="00B067EB">
        <w:rPr>
          <w:b/>
          <w:bCs/>
        </w:rPr>
        <w:t>Geographical Segments</w:t>
      </w:r>
      <w:r w:rsidRPr="00B067EB">
        <w:t>: ~70% of sales from South India (Telangana, Andhra Pradesh, Karnataka) and ~30% from Central/West India (Maharashtra, Madhya Pradesh). Exact breakdowns for FY25 are not fully disclosed but align with historical trends.</w:t>
      </w:r>
    </w:p>
    <w:p w14:paraId="099B36F3" w14:textId="77777777" w:rsidR="00B067EB" w:rsidRPr="00B067EB" w:rsidRDefault="00B067EB" w:rsidP="00B067EB">
      <w:pPr>
        <w:numPr>
          <w:ilvl w:val="0"/>
          <w:numId w:val="1"/>
        </w:numPr>
      </w:pPr>
      <w:r w:rsidRPr="00B067EB">
        <w:rPr>
          <w:b/>
          <w:bCs/>
        </w:rPr>
        <w:t xml:space="preserve">Trade vs. </w:t>
      </w:r>
      <w:proofErr w:type="gramStart"/>
      <w:r w:rsidRPr="00B067EB">
        <w:rPr>
          <w:b/>
          <w:bCs/>
        </w:rPr>
        <w:t>Non-Trade</w:t>
      </w:r>
      <w:proofErr w:type="gramEnd"/>
      <w:r w:rsidRPr="00B067EB">
        <w:t>: ~65% trade (retail) and ~35% non-trade (institutional) sales, reflecting a focus on premium retail markets.</w:t>
      </w:r>
    </w:p>
    <w:p w14:paraId="2297CBCA" w14:textId="77777777" w:rsidR="00B067EB" w:rsidRPr="00B067EB" w:rsidRDefault="00B067EB" w:rsidP="00B067EB">
      <w:pPr>
        <w:rPr>
          <w:b/>
          <w:bCs/>
        </w:rPr>
      </w:pPr>
      <w:r w:rsidRPr="00B067EB">
        <w:rPr>
          <w:b/>
          <w:bCs/>
        </w:rPr>
        <w:t>Significant Historical Events (2020–2025)</w:t>
      </w:r>
    </w:p>
    <w:p w14:paraId="3471D11C" w14:textId="77777777" w:rsidR="00B067EB" w:rsidRPr="00B067EB" w:rsidRDefault="00B067EB" w:rsidP="00B067EB">
      <w:pPr>
        <w:numPr>
          <w:ilvl w:val="0"/>
          <w:numId w:val="2"/>
        </w:numPr>
      </w:pPr>
      <w:r w:rsidRPr="00B067EB">
        <w:rPr>
          <w:b/>
          <w:bCs/>
        </w:rPr>
        <w:t>Capacity Expansion (2021)</w:t>
      </w:r>
      <w:r w:rsidRPr="00B067EB">
        <w:t xml:space="preserve">: Commissioned a waste heat recovery system (WHRS) at </w:t>
      </w:r>
      <w:proofErr w:type="spellStart"/>
      <w:r w:rsidRPr="00B067EB">
        <w:t>Chittapur</w:t>
      </w:r>
      <w:proofErr w:type="spellEnd"/>
      <w:r w:rsidRPr="00B067EB">
        <w:t>, enhancing energy efficiency and reducing costs.</w:t>
      </w:r>
    </w:p>
    <w:p w14:paraId="0D6FF904" w14:textId="77777777" w:rsidR="00B067EB" w:rsidRPr="00B067EB" w:rsidRDefault="00B067EB" w:rsidP="00B067EB">
      <w:pPr>
        <w:numPr>
          <w:ilvl w:val="0"/>
          <w:numId w:val="2"/>
        </w:numPr>
      </w:pPr>
      <w:r w:rsidRPr="00B067EB">
        <w:rPr>
          <w:b/>
          <w:bCs/>
        </w:rPr>
        <w:t>Acquisition Attempt (2022)</w:t>
      </w:r>
      <w:r w:rsidRPr="00B067EB">
        <w:t>: Speculation around a potential sale to larger players like UltraTech Cement, which did not materialize, causing stock volatility.</w:t>
      </w:r>
    </w:p>
    <w:p w14:paraId="1BB0B9C4" w14:textId="77777777" w:rsidR="00B067EB" w:rsidRPr="00B067EB" w:rsidRDefault="00B067EB" w:rsidP="00B067EB">
      <w:pPr>
        <w:numPr>
          <w:ilvl w:val="0"/>
          <w:numId w:val="2"/>
        </w:numPr>
        <w:rPr>
          <w:rStyle w:val="Hyperlink"/>
        </w:rPr>
      </w:pPr>
      <w:r w:rsidRPr="00B067EB">
        <w:rPr>
          <w:b/>
          <w:bCs/>
        </w:rPr>
        <w:t>Ambuja Cements Acquisition (2024–2025)</w:t>
      </w:r>
      <w:r w:rsidRPr="00B067EB">
        <w:t>: Adani-owned Ambuja Cements acquired a 46.8% stake in October 2024, with an open offer for an additional 26%, approved by CCI in March 2025. This marks a pivotal shift, integrating Orient into the Adani cement ecosystem, boosting its operational and financial outlook.</w:t>
      </w:r>
      <w:r w:rsidRPr="00B067EB">
        <w:fldChar w:fldCharType="begin"/>
      </w:r>
      <w:r w:rsidRPr="00B067EB">
        <w:instrText>HYPERLINK "https://www.goodreturns.in/news/ambuja-cement-shares-jump-2-5-after-acquiring-orient-cement-stocks-in-focus-today-1410067.html" \t "_blank"</w:instrText>
      </w:r>
      <w:r w:rsidRPr="00B067EB">
        <w:fldChar w:fldCharType="separate"/>
      </w:r>
    </w:p>
    <w:p w14:paraId="65D3473A" w14:textId="02E0DB04" w:rsidR="00B067EB" w:rsidRPr="00B067EB" w:rsidRDefault="00B067EB" w:rsidP="00B067EB">
      <w:pPr>
        <w:rPr>
          <w:rStyle w:val="Hyperlink"/>
        </w:rPr>
      </w:pPr>
      <w:r w:rsidRPr="00B067EB">
        <w:rPr>
          <w:rStyle w:val="Hyperlink"/>
        </w:rPr>
        <w:drawing>
          <wp:inline distT="0" distB="0" distL="0" distR="0" wp14:anchorId="613F90BF" wp14:editId="001D660E">
            <wp:extent cx="304800" cy="304800"/>
            <wp:effectExtent l="0" t="0" r="0" b="0"/>
            <wp:docPr id="786343582" name="Picture 40">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6070A8" w14:textId="77777777" w:rsidR="00B067EB" w:rsidRPr="00B067EB" w:rsidRDefault="00B067EB" w:rsidP="00B067EB">
      <w:pPr>
        <w:rPr>
          <w:rStyle w:val="Hyperlink"/>
        </w:rPr>
      </w:pPr>
      <w:r w:rsidRPr="00B067EB">
        <w:fldChar w:fldCharType="end"/>
      </w:r>
      <w:r w:rsidRPr="00B067EB">
        <w:fldChar w:fldCharType="begin"/>
      </w:r>
      <w:r w:rsidRPr="00B067EB">
        <w:instrText>HYPERLINK "https://www.news18.com/business/cci-clears-ambuja-cements-acquisition-of-orient-cement-to-acquire-5-34-crore-shares-at-rs-395-40-apiece-9249901.html" \t "_blank"</w:instrText>
      </w:r>
      <w:r w:rsidRPr="00B067EB">
        <w:fldChar w:fldCharType="separate"/>
      </w:r>
    </w:p>
    <w:p w14:paraId="0FCECF26" w14:textId="09CFAF04" w:rsidR="00B067EB" w:rsidRPr="00B067EB" w:rsidRDefault="00B067EB" w:rsidP="00B067EB">
      <w:pPr>
        <w:rPr>
          <w:rStyle w:val="Hyperlink"/>
        </w:rPr>
      </w:pPr>
      <w:r w:rsidRPr="00B067EB">
        <w:rPr>
          <w:rStyle w:val="Hyperlink"/>
        </w:rPr>
        <w:drawing>
          <wp:inline distT="0" distB="0" distL="0" distR="0" wp14:anchorId="5EA0E732" wp14:editId="7D5D92A5">
            <wp:extent cx="304800" cy="304800"/>
            <wp:effectExtent l="0" t="0" r="0" b="0"/>
            <wp:docPr id="1983578457" name="Picture 39">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EDB0DC" w14:textId="77777777" w:rsidR="00B067EB" w:rsidRPr="00B067EB" w:rsidRDefault="00B067EB" w:rsidP="00B067EB">
      <w:r w:rsidRPr="00B067EB">
        <w:fldChar w:fldCharType="end"/>
      </w:r>
    </w:p>
    <w:p w14:paraId="38A6A969" w14:textId="77777777" w:rsidR="00B067EB" w:rsidRPr="00B067EB" w:rsidRDefault="00B067EB" w:rsidP="00B067EB">
      <w:r w:rsidRPr="00B067EB">
        <w:pict w14:anchorId="5DD25403">
          <v:rect id="_x0000_i1170" style="width:0;height:1.5pt" o:hralign="center" o:hrstd="t" o:hr="t" fillcolor="#a0a0a0" stroked="f"/>
        </w:pict>
      </w:r>
    </w:p>
    <w:p w14:paraId="6CBDF18A" w14:textId="77777777" w:rsidR="00B067EB" w:rsidRPr="00B067EB" w:rsidRDefault="00B067EB" w:rsidP="00B067EB">
      <w:pPr>
        <w:rPr>
          <w:b/>
          <w:bCs/>
        </w:rPr>
      </w:pPr>
      <w:r w:rsidRPr="00B067EB">
        <w:rPr>
          <w:b/>
          <w:bCs/>
        </w:rPr>
        <w:t xml:space="preserve">2. Deep Dive into Annual Reports and </w:t>
      </w:r>
      <w:proofErr w:type="spellStart"/>
      <w:r w:rsidRPr="00B067EB">
        <w:rPr>
          <w:b/>
          <w:bCs/>
        </w:rPr>
        <w:t>Concalls</w:t>
      </w:r>
      <w:proofErr w:type="spellEnd"/>
      <w:r w:rsidRPr="00B067EB">
        <w:rPr>
          <w:b/>
          <w:bCs/>
        </w:rPr>
        <w:t xml:space="preserve"> (2020–2025)</w:t>
      </w:r>
    </w:p>
    <w:p w14:paraId="4DE83783" w14:textId="77777777" w:rsidR="00B067EB" w:rsidRPr="00B067EB" w:rsidRDefault="00B067EB" w:rsidP="00B067EB">
      <w:pPr>
        <w:rPr>
          <w:b/>
          <w:bCs/>
        </w:rPr>
      </w:pPr>
      <w:r w:rsidRPr="00B067EB">
        <w:rPr>
          <w:b/>
          <w:bCs/>
        </w:rPr>
        <w:lastRenderedPageBreak/>
        <w:t>A. Business Updates</w:t>
      </w:r>
    </w:p>
    <w:p w14:paraId="60A68A82" w14:textId="77777777" w:rsidR="00B067EB" w:rsidRPr="00B067EB" w:rsidRDefault="00B067EB" w:rsidP="00B067EB">
      <w:pPr>
        <w:rPr>
          <w:b/>
          <w:bCs/>
        </w:rPr>
      </w:pPr>
      <w:r w:rsidRPr="00B067EB">
        <w:rPr>
          <w:b/>
          <w:bCs/>
        </w:rPr>
        <w:t>New Product Launches, Expansions, Capex</w:t>
      </w:r>
    </w:p>
    <w:p w14:paraId="701C88F9" w14:textId="77777777" w:rsidR="00B067EB" w:rsidRPr="00B067EB" w:rsidRDefault="00B067EB" w:rsidP="00B067EB">
      <w:pPr>
        <w:numPr>
          <w:ilvl w:val="0"/>
          <w:numId w:val="3"/>
        </w:numPr>
      </w:pPr>
      <w:r w:rsidRPr="00B067EB">
        <w:rPr>
          <w:b/>
          <w:bCs/>
        </w:rPr>
        <w:t>Product Launches</w:t>
      </w:r>
      <w:r w:rsidRPr="00B067EB">
        <w:t>: Introduced premium variants under Birla A1 in FY22, targeting high-margin urban markets. No major new products in FY24–25.</w:t>
      </w:r>
    </w:p>
    <w:p w14:paraId="11BF99F1" w14:textId="77777777" w:rsidR="00B067EB" w:rsidRPr="00B067EB" w:rsidRDefault="00B067EB" w:rsidP="00B067EB">
      <w:pPr>
        <w:numPr>
          <w:ilvl w:val="0"/>
          <w:numId w:val="3"/>
        </w:numPr>
        <w:rPr>
          <w:rStyle w:val="Hyperlink"/>
        </w:rPr>
      </w:pPr>
      <w:r w:rsidRPr="00B067EB">
        <w:rPr>
          <w:b/>
          <w:bCs/>
        </w:rPr>
        <w:t>Expansions</w:t>
      </w:r>
      <w:r w:rsidRPr="00B067EB">
        <w:t>: No significant capacity additions post-FY21 WHRS. However, post-acquisition, Ambuja plans to leverage Orient’s limestone reserves in Rajasthan for potential expansion (8.5 MTPA capacity remains unchanged as of FY25).</w:t>
      </w:r>
      <w:r w:rsidRPr="00B067EB">
        <w:fldChar w:fldCharType="begin"/>
      </w:r>
      <w:r w:rsidRPr="00B067EB">
        <w:instrText>HYPERLINK "https://m.economictimes.com/markets/stocks/news/ambuja-cements-shares-in-focus-on-receiving-cci-approval-for-acquiring-orient-cement/articleshow/118723683.cms" \t "_blank"</w:instrText>
      </w:r>
      <w:r w:rsidRPr="00B067EB">
        <w:fldChar w:fldCharType="separate"/>
      </w:r>
    </w:p>
    <w:p w14:paraId="7E817229" w14:textId="00C560CC" w:rsidR="00B067EB" w:rsidRPr="00B067EB" w:rsidRDefault="00B067EB" w:rsidP="00B067EB">
      <w:pPr>
        <w:rPr>
          <w:rStyle w:val="Hyperlink"/>
        </w:rPr>
      </w:pPr>
      <w:r w:rsidRPr="00B067EB">
        <w:rPr>
          <w:rStyle w:val="Hyperlink"/>
        </w:rPr>
        <w:drawing>
          <wp:inline distT="0" distB="0" distL="0" distR="0" wp14:anchorId="68EDD1AD" wp14:editId="19C39F5D">
            <wp:extent cx="304800" cy="304800"/>
            <wp:effectExtent l="0" t="0" r="0" b="0"/>
            <wp:docPr id="1047547947" name="Picture 38">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059744" w14:textId="77777777" w:rsidR="00B067EB" w:rsidRPr="00B067EB" w:rsidRDefault="00B067EB" w:rsidP="00B067EB">
      <w:r w:rsidRPr="00B067EB">
        <w:fldChar w:fldCharType="end"/>
      </w:r>
    </w:p>
    <w:p w14:paraId="3C88D5A8" w14:textId="77777777" w:rsidR="00B067EB" w:rsidRPr="00B067EB" w:rsidRDefault="00B067EB" w:rsidP="00B067EB">
      <w:pPr>
        <w:numPr>
          <w:ilvl w:val="0"/>
          <w:numId w:val="3"/>
        </w:numPr>
      </w:pPr>
      <w:r w:rsidRPr="00B067EB">
        <w:rPr>
          <w:b/>
          <w:bCs/>
        </w:rPr>
        <w:t>Capex Plans</w:t>
      </w:r>
      <w:r w:rsidRPr="00B067EB">
        <w:t>: FY24 annual report mentions ~₹200 crore capex for modernization and efficiency (e.g., WHRS upgrades). FY25 capex guidance is muted due to acquisition-related integration focus.</w:t>
      </w:r>
    </w:p>
    <w:p w14:paraId="68797295" w14:textId="77777777" w:rsidR="00B067EB" w:rsidRPr="00B067EB" w:rsidRDefault="00B067EB" w:rsidP="00B067EB">
      <w:pPr>
        <w:rPr>
          <w:b/>
          <w:bCs/>
        </w:rPr>
      </w:pPr>
      <w:r w:rsidRPr="00B067EB">
        <w:rPr>
          <w:b/>
          <w:bCs/>
        </w:rPr>
        <w:t>Revenue Growth Trends and Operational Efficiencies</w:t>
      </w:r>
    </w:p>
    <w:p w14:paraId="162DB531" w14:textId="77777777" w:rsidR="00B067EB" w:rsidRPr="00B067EB" w:rsidRDefault="00B067EB" w:rsidP="00B067EB">
      <w:pPr>
        <w:numPr>
          <w:ilvl w:val="0"/>
          <w:numId w:val="4"/>
        </w:numPr>
      </w:pPr>
      <w:r w:rsidRPr="00B067EB">
        <w:rPr>
          <w:b/>
          <w:bCs/>
        </w:rPr>
        <w:t>Revenue Trends</w:t>
      </w:r>
      <w:r w:rsidRPr="00B067EB">
        <w:t xml:space="preserve">: </w:t>
      </w:r>
    </w:p>
    <w:p w14:paraId="728CE453" w14:textId="77777777" w:rsidR="00B067EB" w:rsidRPr="00B067EB" w:rsidRDefault="00B067EB" w:rsidP="00B067EB">
      <w:pPr>
        <w:numPr>
          <w:ilvl w:val="1"/>
          <w:numId w:val="4"/>
        </w:numPr>
      </w:pPr>
      <w:r w:rsidRPr="00B067EB">
        <w:t>FY21: ₹2,321 crore (COVID impact, -9% YoY).</w:t>
      </w:r>
    </w:p>
    <w:p w14:paraId="222047F4" w14:textId="77777777" w:rsidR="00B067EB" w:rsidRPr="00B067EB" w:rsidRDefault="00B067EB" w:rsidP="00B067EB">
      <w:pPr>
        <w:numPr>
          <w:ilvl w:val="1"/>
          <w:numId w:val="4"/>
        </w:numPr>
      </w:pPr>
      <w:r w:rsidRPr="00B067EB">
        <w:t>FY22: ₹2,725 crore (+17% YoY, demand recovery).</w:t>
      </w:r>
    </w:p>
    <w:p w14:paraId="4B752299" w14:textId="77777777" w:rsidR="00B067EB" w:rsidRPr="00B067EB" w:rsidRDefault="00B067EB" w:rsidP="00B067EB">
      <w:pPr>
        <w:numPr>
          <w:ilvl w:val="1"/>
          <w:numId w:val="4"/>
        </w:numPr>
      </w:pPr>
      <w:r w:rsidRPr="00B067EB">
        <w:t>FY23: ₹2,937 crore (+8% YoY, stable growth).</w:t>
      </w:r>
    </w:p>
    <w:p w14:paraId="67BD21F2" w14:textId="77777777" w:rsidR="00B067EB" w:rsidRPr="00B067EB" w:rsidRDefault="00B067EB" w:rsidP="00B067EB">
      <w:pPr>
        <w:numPr>
          <w:ilvl w:val="1"/>
          <w:numId w:val="4"/>
        </w:numPr>
      </w:pPr>
      <w:r w:rsidRPr="00B067EB">
        <w:t>FY24: ₹3,200 crore (+9% YoY).</w:t>
      </w:r>
    </w:p>
    <w:p w14:paraId="5DCC1D00" w14:textId="77777777" w:rsidR="00B067EB" w:rsidRPr="00B067EB" w:rsidRDefault="00B067EB" w:rsidP="00B067EB">
      <w:pPr>
        <w:numPr>
          <w:ilvl w:val="1"/>
          <w:numId w:val="4"/>
        </w:numPr>
        <w:rPr>
          <w:rStyle w:val="Hyperlink"/>
        </w:rPr>
      </w:pPr>
      <w:r w:rsidRPr="00B067EB">
        <w:t>FY25: ₹2,728 crore (-14.7% YoY, per Q4 FY25 results), reflecting lower volumes and pricing pressure.</w:t>
      </w:r>
      <w:r w:rsidRPr="00B067EB">
        <w:fldChar w:fldCharType="begin"/>
      </w:r>
      <w:r w:rsidRPr="00B067EB">
        <w:instrText>HYPERLINK "https://upstox.com/news/market-news/stocks/orient-cement-share-price-declines-1-as-q4-profit-falls-38-3-to-42-crore-dividend-announced/article-160452/" \t "_blank"</w:instrText>
      </w:r>
      <w:r w:rsidRPr="00B067EB">
        <w:fldChar w:fldCharType="separate"/>
      </w:r>
    </w:p>
    <w:p w14:paraId="7A816BE7" w14:textId="0A07A31C" w:rsidR="00B067EB" w:rsidRPr="00B067EB" w:rsidRDefault="00B067EB" w:rsidP="00B067EB">
      <w:pPr>
        <w:rPr>
          <w:rStyle w:val="Hyperlink"/>
        </w:rPr>
      </w:pPr>
      <w:r w:rsidRPr="00B067EB">
        <w:rPr>
          <w:rStyle w:val="Hyperlink"/>
        </w:rPr>
        <w:drawing>
          <wp:inline distT="0" distB="0" distL="0" distR="0" wp14:anchorId="0691CAD8" wp14:editId="32D0A99C">
            <wp:extent cx="304800" cy="304800"/>
            <wp:effectExtent l="0" t="0" r="0" b="0"/>
            <wp:docPr id="188871436" name="Picture 37">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157421" w14:textId="77777777" w:rsidR="00B067EB" w:rsidRPr="00B067EB" w:rsidRDefault="00B067EB" w:rsidP="00B067EB">
      <w:pPr>
        <w:rPr>
          <w:rStyle w:val="Hyperlink"/>
        </w:rPr>
      </w:pPr>
      <w:r w:rsidRPr="00B067EB">
        <w:fldChar w:fldCharType="end"/>
      </w:r>
      <w:r w:rsidRPr="00B067EB">
        <w:fldChar w:fldCharType="begin"/>
      </w:r>
      <w:r w:rsidRPr="00B067EB">
        <w:instrText>HYPERLINK "https://www.business-standard.com/companies/news/orient-cement-q4-results-profit-drops-38-3-to-42-cr-revenue-slips-7-125041300622_1.html" \t "_blank"</w:instrText>
      </w:r>
      <w:r w:rsidRPr="00B067EB">
        <w:fldChar w:fldCharType="separate"/>
      </w:r>
    </w:p>
    <w:p w14:paraId="1C14EF88" w14:textId="1D42220C" w:rsidR="00B067EB" w:rsidRPr="00B067EB" w:rsidRDefault="00B067EB" w:rsidP="00B067EB">
      <w:pPr>
        <w:rPr>
          <w:rStyle w:val="Hyperlink"/>
        </w:rPr>
      </w:pPr>
      <w:r w:rsidRPr="00B067EB">
        <w:rPr>
          <w:rStyle w:val="Hyperlink"/>
        </w:rPr>
        <w:drawing>
          <wp:inline distT="0" distB="0" distL="0" distR="0" wp14:anchorId="221F70A6" wp14:editId="78DEFAA2">
            <wp:extent cx="304800" cy="304800"/>
            <wp:effectExtent l="0" t="0" r="0" b="0"/>
            <wp:docPr id="2080590360" name="Picture 36">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35EA34" w14:textId="77777777" w:rsidR="00B067EB" w:rsidRPr="00B067EB" w:rsidRDefault="00B067EB" w:rsidP="00B067EB">
      <w:r w:rsidRPr="00B067EB">
        <w:fldChar w:fldCharType="end"/>
      </w:r>
    </w:p>
    <w:p w14:paraId="3166B6C4" w14:textId="77777777" w:rsidR="00B067EB" w:rsidRPr="00B067EB" w:rsidRDefault="00B067EB" w:rsidP="00B067EB">
      <w:pPr>
        <w:numPr>
          <w:ilvl w:val="0"/>
          <w:numId w:val="4"/>
        </w:numPr>
      </w:pPr>
      <w:r w:rsidRPr="00B067EB">
        <w:rPr>
          <w:b/>
          <w:bCs/>
        </w:rPr>
        <w:t>Operational Efficiencies</w:t>
      </w:r>
      <w:r w:rsidRPr="00B067EB">
        <w:t xml:space="preserve">: </w:t>
      </w:r>
    </w:p>
    <w:p w14:paraId="4C7E49EE" w14:textId="77777777" w:rsidR="00B067EB" w:rsidRPr="00B067EB" w:rsidRDefault="00B067EB" w:rsidP="00B067EB">
      <w:pPr>
        <w:numPr>
          <w:ilvl w:val="1"/>
          <w:numId w:val="4"/>
        </w:numPr>
      </w:pPr>
      <w:r w:rsidRPr="00B067EB">
        <w:t>EBITDA margins improved from 12% in FY21 to 16.7% in FY24 due to WHRS and lower fuel costs.</w:t>
      </w:r>
    </w:p>
    <w:p w14:paraId="23E7094D" w14:textId="77777777" w:rsidR="00B067EB" w:rsidRPr="00B067EB" w:rsidRDefault="00B067EB" w:rsidP="00B067EB">
      <w:pPr>
        <w:numPr>
          <w:ilvl w:val="1"/>
          <w:numId w:val="4"/>
        </w:numPr>
      </w:pPr>
      <w:r w:rsidRPr="00B067EB">
        <w:t>FY25 margins dipped to 12.48% in Q4, impacted by weak cement prices and higher input costs.</w:t>
      </w:r>
    </w:p>
    <w:p w14:paraId="715CA0A4" w14:textId="77777777" w:rsidR="00B067EB" w:rsidRPr="00B067EB" w:rsidRDefault="00B067EB" w:rsidP="00B067EB">
      <w:pPr>
        <w:numPr>
          <w:ilvl w:val="1"/>
          <w:numId w:val="4"/>
        </w:numPr>
      </w:pPr>
      <w:r w:rsidRPr="00B067EB">
        <w:t>Power and fuel costs reduced by 10% YoY in FY24 via alternative fuels (</w:t>
      </w:r>
      <w:proofErr w:type="spellStart"/>
      <w:r w:rsidRPr="00B067EB">
        <w:t>petcoke</w:t>
      </w:r>
      <w:proofErr w:type="spellEnd"/>
      <w:r w:rsidRPr="00B067EB">
        <w:t>, biomass).</w:t>
      </w:r>
    </w:p>
    <w:p w14:paraId="098BB356" w14:textId="77777777" w:rsidR="00B067EB" w:rsidRPr="00B067EB" w:rsidRDefault="00B067EB" w:rsidP="00B067EB">
      <w:pPr>
        <w:rPr>
          <w:b/>
          <w:bCs/>
        </w:rPr>
      </w:pPr>
      <w:r w:rsidRPr="00B067EB">
        <w:rPr>
          <w:b/>
          <w:bCs/>
        </w:rPr>
        <w:t>Demand Patterns and Structural Shifts</w:t>
      </w:r>
    </w:p>
    <w:p w14:paraId="4F6B922E" w14:textId="77777777" w:rsidR="00B067EB" w:rsidRPr="00B067EB" w:rsidRDefault="00B067EB" w:rsidP="00B067EB">
      <w:pPr>
        <w:numPr>
          <w:ilvl w:val="0"/>
          <w:numId w:val="5"/>
        </w:numPr>
      </w:pPr>
      <w:r w:rsidRPr="00B067EB">
        <w:rPr>
          <w:b/>
          <w:bCs/>
        </w:rPr>
        <w:lastRenderedPageBreak/>
        <w:t>Demand</w:t>
      </w:r>
      <w:r w:rsidRPr="00B067EB">
        <w:t>: Strong retail demand in South India (housing, infrastructure) until FY24. FY25 saw softer demand due to monsoon disruptions and election-related slowdowns.</w:t>
      </w:r>
    </w:p>
    <w:p w14:paraId="6CD3C16E" w14:textId="77777777" w:rsidR="00B067EB" w:rsidRPr="00B067EB" w:rsidRDefault="00B067EB" w:rsidP="00B067EB">
      <w:pPr>
        <w:numPr>
          <w:ilvl w:val="0"/>
          <w:numId w:val="5"/>
        </w:numPr>
      </w:pPr>
      <w:r w:rsidRPr="00B067EB">
        <w:rPr>
          <w:b/>
          <w:bCs/>
        </w:rPr>
        <w:t>Structural Shifts</w:t>
      </w:r>
      <w:r w:rsidRPr="00B067EB">
        <w:t xml:space="preserve">: Shift toward premium cements (Birla A1 </w:t>
      </w:r>
      <w:proofErr w:type="spellStart"/>
      <w:r w:rsidRPr="00B067EB">
        <w:t>StrongCrete</w:t>
      </w:r>
      <w:proofErr w:type="spellEnd"/>
      <w:r w:rsidRPr="00B067EB">
        <w:t>) to capture urban markets. Increased focus on sustainability (e.g., WHRS, green energy) aligns with industry trends.</w:t>
      </w:r>
    </w:p>
    <w:p w14:paraId="12B0872F" w14:textId="77777777" w:rsidR="00B067EB" w:rsidRPr="00B067EB" w:rsidRDefault="00B067EB" w:rsidP="00B067EB">
      <w:pPr>
        <w:numPr>
          <w:ilvl w:val="0"/>
          <w:numId w:val="5"/>
        </w:numPr>
      </w:pPr>
      <w:r w:rsidRPr="00B067EB">
        <w:rPr>
          <w:b/>
          <w:bCs/>
        </w:rPr>
        <w:t>Industry Tailwinds</w:t>
      </w:r>
      <w:r w:rsidRPr="00B067EB">
        <w:t>: Government infra push (roads, housing) supports long-term demand. Post-acquisition, Adani’s distribution network could boost Orient’s reach.</w:t>
      </w:r>
    </w:p>
    <w:p w14:paraId="193ED10C" w14:textId="77777777" w:rsidR="00B067EB" w:rsidRPr="00B067EB" w:rsidRDefault="00B067EB" w:rsidP="00B067EB">
      <w:pPr>
        <w:numPr>
          <w:ilvl w:val="0"/>
          <w:numId w:val="5"/>
        </w:numPr>
      </w:pPr>
      <w:r w:rsidRPr="00B067EB">
        <w:rPr>
          <w:b/>
          <w:bCs/>
        </w:rPr>
        <w:t>Headwinds</w:t>
      </w:r>
      <w:r w:rsidRPr="00B067EB">
        <w:t>: Oversupply in South India, volatile fuel costs, and competition from larger players (UltraTech, ACC) pressure pricing.</w:t>
      </w:r>
    </w:p>
    <w:p w14:paraId="19E66AF7" w14:textId="77777777" w:rsidR="00B067EB" w:rsidRPr="00B067EB" w:rsidRDefault="00B067EB" w:rsidP="00B067EB">
      <w:pPr>
        <w:rPr>
          <w:b/>
          <w:bCs/>
        </w:rPr>
      </w:pPr>
      <w:r w:rsidRPr="00B067EB">
        <w:rPr>
          <w:b/>
          <w:bCs/>
        </w:rPr>
        <w:t>B. Risks Analysis</w:t>
      </w:r>
    </w:p>
    <w:p w14:paraId="37A242A6" w14:textId="77777777" w:rsidR="00B067EB" w:rsidRPr="00B067EB" w:rsidRDefault="00B067EB" w:rsidP="00B067EB">
      <w:pPr>
        <w:rPr>
          <w:b/>
          <w:bCs/>
        </w:rPr>
      </w:pPr>
      <w:r w:rsidRPr="00B067EB">
        <w:rPr>
          <w:b/>
          <w:bCs/>
        </w:rPr>
        <w:t>New Risks</w:t>
      </w:r>
    </w:p>
    <w:p w14:paraId="66E3A7A1" w14:textId="77777777" w:rsidR="00B067EB" w:rsidRPr="00B067EB" w:rsidRDefault="00B067EB" w:rsidP="00B067EB">
      <w:pPr>
        <w:numPr>
          <w:ilvl w:val="0"/>
          <w:numId w:val="6"/>
        </w:numPr>
      </w:pPr>
      <w:r w:rsidRPr="00B067EB">
        <w:rPr>
          <w:b/>
          <w:bCs/>
        </w:rPr>
        <w:t>Acquisition Integration</w:t>
      </w:r>
      <w:r w:rsidRPr="00B067EB">
        <w:t>: Potential operational disruptions during integration with Ambuja Cements (e.g., management overlaps, cost synergies delayed).</w:t>
      </w:r>
    </w:p>
    <w:p w14:paraId="46A2B6B6" w14:textId="77777777" w:rsidR="00B067EB" w:rsidRPr="00B067EB" w:rsidRDefault="00B067EB" w:rsidP="00B067EB">
      <w:pPr>
        <w:numPr>
          <w:ilvl w:val="0"/>
          <w:numId w:val="6"/>
        </w:numPr>
        <w:rPr>
          <w:rStyle w:val="Hyperlink"/>
        </w:rPr>
      </w:pPr>
      <w:r w:rsidRPr="00B067EB">
        <w:rPr>
          <w:b/>
          <w:bCs/>
        </w:rPr>
        <w:t>Pricing Pressure</w:t>
      </w:r>
      <w:r w:rsidRPr="00B067EB">
        <w:t>: South India’s oversupply could cap realizations, as seen in FY25’s 7% revenue drop.</w:t>
      </w:r>
      <w:r w:rsidRPr="00B067EB">
        <w:fldChar w:fldCharType="begin"/>
      </w:r>
      <w:r w:rsidRPr="00B067EB">
        <w:instrText>HYPERLINK "https://www.business-standard.com/companies/news/orient-cement-q4-results-profit-drops-38-3-to-42-cr-revenue-slips-7-125041300622_1.html" \t "_blank"</w:instrText>
      </w:r>
      <w:r w:rsidRPr="00B067EB">
        <w:fldChar w:fldCharType="separate"/>
      </w:r>
    </w:p>
    <w:p w14:paraId="6B483B2E" w14:textId="0BDC52CE" w:rsidR="00B067EB" w:rsidRPr="00B067EB" w:rsidRDefault="00B067EB" w:rsidP="00B067EB">
      <w:pPr>
        <w:rPr>
          <w:rStyle w:val="Hyperlink"/>
        </w:rPr>
      </w:pPr>
      <w:r w:rsidRPr="00B067EB">
        <w:rPr>
          <w:rStyle w:val="Hyperlink"/>
        </w:rPr>
        <w:drawing>
          <wp:inline distT="0" distB="0" distL="0" distR="0" wp14:anchorId="2B316247" wp14:editId="21065AF6">
            <wp:extent cx="304800" cy="304800"/>
            <wp:effectExtent l="0" t="0" r="0" b="0"/>
            <wp:docPr id="1007517447" name="Picture 35">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135676" w14:textId="77777777" w:rsidR="00B067EB" w:rsidRPr="00B067EB" w:rsidRDefault="00B067EB" w:rsidP="00B067EB">
      <w:r w:rsidRPr="00B067EB">
        <w:fldChar w:fldCharType="end"/>
      </w:r>
    </w:p>
    <w:p w14:paraId="79E8C55B" w14:textId="77777777" w:rsidR="00B067EB" w:rsidRPr="00B067EB" w:rsidRDefault="00B067EB" w:rsidP="00B067EB">
      <w:pPr>
        <w:numPr>
          <w:ilvl w:val="0"/>
          <w:numId w:val="6"/>
        </w:numPr>
      </w:pPr>
      <w:r w:rsidRPr="00B067EB">
        <w:rPr>
          <w:b/>
          <w:bCs/>
        </w:rPr>
        <w:t>Input Cost Volatility</w:t>
      </w:r>
      <w:r w:rsidRPr="00B067EB">
        <w:t xml:space="preserve">: Rising </w:t>
      </w:r>
      <w:proofErr w:type="spellStart"/>
      <w:r w:rsidRPr="00B067EB">
        <w:t>petcoke</w:t>
      </w:r>
      <w:proofErr w:type="spellEnd"/>
      <w:r w:rsidRPr="00B067EB">
        <w:t xml:space="preserve"> and coal prices remain a concern, despite alternative fuel adoption.</w:t>
      </w:r>
    </w:p>
    <w:p w14:paraId="71E821C0" w14:textId="77777777" w:rsidR="00B067EB" w:rsidRPr="00B067EB" w:rsidRDefault="00B067EB" w:rsidP="00B067EB">
      <w:pPr>
        <w:rPr>
          <w:b/>
          <w:bCs/>
        </w:rPr>
      </w:pPr>
      <w:r w:rsidRPr="00B067EB">
        <w:rPr>
          <w:b/>
          <w:bCs/>
        </w:rPr>
        <w:t>Old Risks and Outcomes</w:t>
      </w:r>
    </w:p>
    <w:p w14:paraId="7163BFF4" w14:textId="77777777" w:rsidR="00B067EB" w:rsidRPr="00B067EB" w:rsidRDefault="00B067EB" w:rsidP="00B067EB">
      <w:pPr>
        <w:numPr>
          <w:ilvl w:val="0"/>
          <w:numId w:val="7"/>
        </w:numPr>
      </w:pPr>
      <w:r w:rsidRPr="00B067EB">
        <w:rPr>
          <w:b/>
          <w:bCs/>
        </w:rPr>
        <w:t>High Debt (FY21–22)</w:t>
      </w:r>
      <w:r w:rsidRPr="00B067EB">
        <w:t>: Debt-to-equity reduced from 0.8x in FY21 to 0.3x in FY24 through cash flows and repayments. Risk largely mitigated.</w:t>
      </w:r>
    </w:p>
    <w:p w14:paraId="1AC7E190" w14:textId="77777777" w:rsidR="00B067EB" w:rsidRPr="00B067EB" w:rsidRDefault="00B067EB" w:rsidP="00B067EB">
      <w:pPr>
        <w:numPr>
          <w:ilvl w:val="0"/>
          <w:numId w:val="7"/>
        </w:numPr>
      </w:pPr>
      <w:r w:rsidRPr="00B067EB">
        <w:rPr>
          <w:b/>
          <w:bCs/>
        </w:rPr>
        <w:t>Regional Concentration</w:t>
      </w:r>
      <w:r w:rsidRPr="00B067EB">
        <w:t>: Over-reliance on South India persists but is offset by Ambuja’s pan-India network post-FY25 acquisition.</w:t>
      </w:r>
    </w:p>
    <w:p w14:paraId="012516C6" w14:textId="77777777" w:rsidR="00B067EB" w:rsidRPr="00B067EB" w:rsidRDefault="00B067EB" w:rsidP="00B067EB">
      <w:pPr>
        <w:numPr>
          <w:ilvl w:val="0"/>
          <w:numId w:val="7"/>
        </w:numPr>
      </w:pPr>
      <w:r w:rsidRPr="00B067EB">
        <w:rPr>
          <w:b/>
          <w:bCs/>
        </w:rPr>
        <w:t>Competition</w:t>
      </w:r>
      <w:r w:rsidRPr="00B067EB">
        <w:t>: Earlier fears of market share loss to UltraTech were managed by focusing on premium segments and cost control.</w:t>
      </w:r>
    </w:p>
    <w:p w14:paraId="06E76C05" w14:textId="77777777" w:rsidR="00B067EB" w:rsidRPr="00B067EB" w:rsidRDefault="00B067EB" w:rsidP="00B067EB">
      <w:pPr>
        <w:rPr>
          <w:b/>
          <w:bCs/>
        </w:rPr>
      </w:pPr>
      <w:r w:rsidRPr="00B067EB">
        <w:rPr>
          <w:b/>
          <w:bCs/>
        </w:rPr>
        <w:t>Regulatory, Macro, Geopolitical Risks</w:t>
      </w:r>
    </w:p>
    <w:p w14:paraId="7727B73C" w14:textId="77777777" w:rsidR="00B067EB" w:rsidRPr="00B067EB" w:rsidRDefault="00B067EB" w:rsidP="00B067EB">
      <w:pPr>
        <w:numPr>
          <w:ilvl w:val="0"/>
          <w:numId w:val="8"/>
        </w:numPr>
        <w:rPr>
          <w:rStyle w:val="Hyperlink"/>
        </w:rPr>
      </w:pPr>
      <w:r w:rsidRPr="00B067EB">
        <w:rPr>
          <w:b/>
          <w:bCs/>
        </w:rPr>
        <w:t>Regulatory</w:t>
      </w:r>
      <w:r w:rsidRPr="00B067EB">
        <w:t>: SEBI cautionary letters in April 2025 for disclosure lapses (minor, no penalties).</w:t>
      </w:r>
      <w:r w:rsidRPr="00B067EB">
        <w:fldChar w:fldCharType="begin"/>
      </w:r>
      <w:r w:rsidRPr="00B067EB">
        <w:instrText>HYPERLINK "https://www.tipranks.com/news/company-announcements/orient-cement-receives-cautionary-letters-from-nse-and-bse" \t "_blank"</w:instrText>
      </w:r>
      <w:r w:rsidRPr="00B067EB">
        <w:fldChar w:fldCharType="separate"/>
      </w:r>
    </w:p>
    <w:p w14:paraId="49AD5FB6" w14:textId="0E84CEC0" w:rsidR="00B067EB" w:rsidRPr="00B067EB" w:rsidRDefault="00B067EB" w:rsidP="00B067EB">
      <w:pPr>
        <w:rPr>
          <w:rStyle w:val="Hyperlink"/>
        </w:rPr>
      </w:pPr>
      <w:r w:rsidRPr="00B067EB">
        <w:rPr>
          <w:rStyle w:val="Hyperlink"/>
        </w:rPr>
        <w:drawing>
          <wp:inline distT="0" distB="0" distL="0" distR="0" wp14:anchorId="20940CB2" wp14:editId="59AAF4F9">
            <wp:extent cx="304800" cy="304800"/>
            <wp:effectExtent l="0" t="0" r="0" b="0"/>
            <wp:docPr id="1923182057" name="Picture 34">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3DA25C" w14:textId="77777777" w:rsidR="00B067EB" w:rsidRPr="00B067EB" w:rsidRDefault="00B067EB" w:rsidP="00B067EB">
      <w:r w:rsidRPr="00B067EB">
        <w:fldChar w:fldCharType="end"/>
      </w:r>
    </w:p>
    <w:p w14:paraId="268A63B6" w14:textId="77777777" w:rsidR="00B067EB" w:rsidRPr="00B067EB" w:rsidRDefault="00B067EB" w:rsidP="00B067EB">
      <w:pPr>
        <w:numPr>
          <w:ilvl w:val="0"/>
          <w:numId w:val="8"/>
        </w:numPr>
        <w:rPr>
          <w:rStyle w:val="Hyperlink"/>
        </w:rPr>
      </w:pPr>
      <w:r w:rsidRPr="00B067EB">
        <w:rPr>
          <w:b/>
          <w:bCs/>
        </w:rPr>
        <w:t>Macro</w:t>
      </w:r>
      <w:r w:rsidRPr="00B067EB">
        <w:t>: Rising interest rates and inflation could dampen construction demand. Trump’s tariffs (2025) indirectly affect Indian exports, though cement is domestic-focused.</w:t>
      </w:r>
      <w:r w:rsidRPr="00B067EB">
        <w:fldChar w:fldCharType="begin"/>
      </w:r>
      <w:r w:rsidRPr="00B067EB">
        <w:instrText>HYPERLINK "https://www.reuters.com/world/india/indias-nifty-50-set-sharp-drop-amid-global-trade-war-us-recession-fears-2025-04-07/" \t "_blank"</w:instrText>
      </w:r>
      <w:r w:rsidRPr="00B067EB">
        <w:fldChar w:fldCharType="separate"/>
      </w:r>
    </w:p>
    <w:p w14:paraId="2620111D" w14:textId="10E4B630" w:rsidR="00B067EB" w:rsidRPr="00B067EB" w:rsidRDefault="00B067EB" w:rsidP="00B067EB">
      <w:pPr>
        <w:rPr>
          <w:rStyle w:val="Hyperlink"/>
        </w:rPr>
      </w:pPr>
      <w:r w:rsidRPr="00B067EB">
        <w:rPr>
          <w:rStyle w:val="Hyperlink"/>
        </w:rPr>
        <w:drawing>
          <wp:inline distT="0" distB="0" distL="0" distR="0" wp14:anchorId="6AB7C667" wp14:editId="20845CB1">
            <wp:extent cx="304800" cy="304800"/>
            <wp:effectExtent l="0" t="0" r="0" b="0"/>
            <wp:docPr id="657558262" name="Picture 33">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3D50C4" w14:textId="77777777" w:rsidR="00B067EB" w:rsidRPr="00B067EB" w:rsidRDefault="00B067EB" w:rsidP="00B067EB">
      <w:r w:rsidRPr="00B067EB">
        <w:lastRenderedPageBreak/>
        <w:fldChar w:fldCharType="end"/>
      </w:r>
    </w:p>
    <w:p w14:paraId="465030C4" w14:textId="77777777" w:rsidR="00B067EB" w:rsidRPr="00B067EB" w:rsidRDefault="00B067EB" w:rsidP="00B067EB">
      <w:pPr>
        <w:numPr>
          <w:ilvl w:val="0"/>
          <w:numId w:val="8"/>
        </w:numPr>
      </w:pPr>
      <w:r w:rsidRPr="00B067EB">
        <w:rPr>
          <w:b/>
          <w:bCs/>
        </w:rPr>
        <w:t>Geopolitical</w:t>
      </w:r>
      <w:r w:rsidRPr="00B067EB">
        <w:t>: Stable for cement, but global energy price spikes (e.g., Russia-Ukraine) impact fuel costs.</w:t>
      </w:r>
    </w:p>
    <w:p w14:paraId="0D6BA693" w14:textId="77777777" w:rsidR="00B067EB" w:rsidRPr="00B067EB" w:rsidRDefault="00B067EB" w:rsidP="00B067EB">
      <w:pPr>
        <w:rPr>
          <w:b/>
          <w:bCs/>
        </w:rPr>
      </w:pPr>
      <w:r w:rsidRPr="00B067EB">
        <w:rPr>
          <w:b/>
          <w:bCs/>
        </w:rPr>
        <w:t>Management’s Mitigation Plans</w:t>
      </w:r>
    </w:p>
    <w:p w14:paraId="75E200EF" w14:textId="77777777" w:rsidR="00B067EB" w:rsidRPr="00B067EB" w:rsidRDefault="00B067EB" w:rsidP="00B067EB">
      <w:pPr>
        <w:numPr>
          <w:ilvl w:val="0"/>
          <w:numId w:val="9"/>
        </w:numPr>
      </w:pPr>
      <w:r w:rsidRPr="00B067EB">
        <w:rPr>
          <w:b/>
          <w:bCs/>
        </w:rPr>
        <w:t>Cost Control</w:t>
      </w:r>
      <w:r w:rsidRPr="00B067EB">
        <w:t>: Shift to alternative fuels, WHRS expansion, and logistics optimization (e.g., rail over road).</w:t>
      </w:r>
    </w:p>
    <w:p w14:paraId="7A4ABF1E" w14:textId="77777777" w:rsidR="00B067EB" w:rsidRPr="00B067EB" w:rsidRDefault="00B067EB" w:rsidP="00B067EB">
      <w:pPr>
        <w:numPr>
          <w:ilvl w:val="0"/>
          <w:numId w:val="9"/>
        </w:numPr>
      </w:pPr>
      <w:r w:rsidRPr="00B067EB">
        <w:rPr>
          <w:b/>
          <w:bCs/>
        </w:rPr>
        <w:t>Acquisition Synergies</w:t>
      </w:r>
      <w:r w:rsidRPr="00B067EB">
        <w:t>: Leveraging Adani’s scale for procurement and distribution to counter pricing pressure.</w:t>
      </w:r>
    </w:p>
    <w:p w14:paraId="2092CA20" w14:textId="77777777" w:rsidR="00B067EB" w:rsidRPr="00B067EB" w:rsidRDefault="00B067EB" w:rsidP="00B067EB">
      <w:pPr>
        <w:numPr>
          <w:ilvl w:val="0"/>
          <w:numId w:val="9"/>
        </w:numPr>
      </w:pPr>
      <w:r w:rsidRPr="00B067EB">
        <w:rPr>
          <w:b/>
          <w:bCs/>
        </w:rPr>
        <w:t>Sustainability</w:t>
      </w:r>
      <w:r w:rsidRPr="00B067EB">
        <w:t>: Targeting 30% green energy by FY28 to hedge fuel cost risks.</w:t>
      </w:r>
    </w:p>
    <w:p w14:paraId="3A60FA94" w14:textId="77777777" w:rsidR="00B067EB" w:rsidRPr="00B067EB" w:rsidRDefault="00B067EB" w:rsidP="00B067EB">
      <w:pPr>
        <w:rPr>
          <w:b/>
          <w:bCs/>
        </w:rPr>
      </w:pPr>
      <w:r w:rsidRPr="00B067EB">
        <w:rPr>
          <w:b/>
          <w:bCs/>
        </w:rPr>
        <w:t>Market Concerns</w:t>
      </w:r>
    </w:p>
    <w:p w14:paraId="3579C826" w14:textId="77777777" w:rsidR="00B067EB" w:rsidRPr="00B067EB" w:rsidRDefault="00B067EB" w:rsidP="00B067EB">
      <w:pPr>
        <w:numPr>
          <w:ilvl w:val="0"/>
          <w:numId w:val="10"/>
        </w:numPr>
        <w:rPr>
          <w:rStyle w:val="Hyperlink"/>
        </w:rPr>
      </w:pPr>
      <w:r w:rsidRPr="00B067EB">
        <w:rPr>
          <w:b/>
          <w:bCs/>
        </w:rPr>
        <w:t>Performance</w:t>
      </w:r>
      <w:r w:rsidRPr="00B067EB">
        <w:t>: Q4 FY25 profit drop (38.3% YoY to ₹42 crore) raised concerns about margin sustainability.</w:t>
      </w:r>
      <w:r w:rsidRPr="00B067EB">
        <w:fldChar w:fldCharType="begin"/>
      </w:r>
      <w:r w:rsidRPr="00B067EB">
        <w:instrText>HYPERLINK "https://upstox.com/news/market-news/stocks/orient-cement-share-price-declines-1-as-q4-profit-falls-38-3-to-42-crore-dividend-announced/article-160452/" \t "_blank"</w:instrText>
      </w:r>
      <w:r w:rsidRPr="00B067EB">
        <w:fldChar w:fldCharType="separate"/>
      </w:r>
    </w:p>
    <w:p w14:paraId="1C001F1E" w14:textId="7C39678E" w:rsidR="00B067EB" w:rsidRPr="00B067EB" w:rsidRDefault="00B067EB" w:rsidP="00B067EB">
      <w:pPr>
        <w:rPr>
          <w:rStyle w:val="Hyperlink"/>
        </w:rPr>
      </w:pPr>
      <w:r w:rsidRPr="00B067EB">
        <w:rPr>
          <w:rStyle w:val="Hyperlink"/>
        </w:rPr>
        <w:drawing>
          <wp:inline distT="0" distB="0" distL="0" distR="0" wp14:anchorId="27435109" wp14:editId="6C2901DD">
            <wp:extent cx="304800" cy="304800"/>
            <wp:effectExtent l="0" t="0" r="0" b="0"/>
            <wp:docPr id="1404904775" name="Picture 32">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B6760C" w14:textId="77777777" w:rsidR="00B067EB" w:rsidRPr="00B067EB" w:rsidRDefault="00B067EB" w:rsidP="00B067EB">
      <w:r w:rsidRPr="00B067EB">
        <w:fldChar w:fldCharType="end"/>
      </w:r>
    </w:p>
    <w:p w14:paraId="31DB9462" w14:textId="77777777" w:rsidR="00B067EB" w:rsidRPr="00B067EB" w:rsidRDefault="00B067EB" w:rsidP="00B067EB">
      <w:pPr>
        <w:numPr>
          <w:ilvl w:val="0"/>
          <w:numId w:val="10"/>
        </w:numPr>
      </w:pPr>
      <w:r w:rsidRPr="00B067EB">
        <w:rPr>
          <w:b/>
          <w:bCs/>
        </w:rPr>
        <w:t>Credibility</w:t>
      </w:r>
      <w:r w:rsidRPr="00B067EB">
        <w:t>: No major management credibility issues, but integration uncertainties linger post-acquisition.</w:t>
      </w:r>
    </w:p>
    <w:p w14:paraId="4FD84E44" w14:textId="77777777" w:rsidR="00B067EB" w:rsidRPr="00B067EB" w:rsidRDefault="00B067EB" w:rsidP="00B067EB">
      <w:pPr>
        <w:rPr>
          <w:b/>
          <w:bCs/>
        </w:rPr>
      </w:pPr>
      <w:r w:rsidRPr="00B067EB">
        <w:rPr>
          <w:b/>
          <w:bCs/>
        </w:rPr>
        <w:t>C. Management &amp; Governance</w:t>
      </w:r>
    </w:p>
    <w:p w14:paraId="383F584D" w14:textId="77777777" w:rsidR="00B067EB" w:rsidRPr="00B067EB" w:rsidRDefault="00B067EB" w:rsidP="00B067EB">
      <w:pPr>
        <w:rPr>
          <w:b/>
          <w:bCs/>
        </w:rPr>
      </w:pPr>
      <w:r w:rsidRPr="00B067EB">
        <w:rPr>
          <w:b/>
          <w:bCs/>
        </w:rPr>
        <w:t>Promises vs. Execution</w:t>
      </w:r>
    </w:p>
    <w:p w14:paraId="712B5464" w14:textId="77777777" w:rsidR="00B067EB" w:rsidRPr="00B067EB" w:rsidRDefault="00B067EB" w:rsidP="00B067EB">
      <w:pPr>
        <w:numPr>
          <w:ilvl w:val="0"/>
          <w:numId w:val="11"/>
        </w:numPr>
      </w:pPr>
      <w:r w:rsidRPr="00B067EB">
        <w:rPr>
          <w:b/>
          <w:bCs/>
        </w:rPr>
        <w:t>FY22 Promise</w:t>
      </w:r>
      <w:r w:rsidRPr="00B067EB">
        <w:t xml:space="preserve">: Achieve 15% EBITDA margins by FY24. </w:t>
      </w:r>
      <w:r w:rsidRPr="00B067EB">
        <w:rPr>
          <w:b/>
          <w:bCs/>
        </w:rPr>
        <w:t>Outcome</w:t>
      </w:r>
      <w:r w:rsidRPr="00B067EB">
        <w:t>: Achieved 16.7% in FY24, but FY25 slipped to ~12% due to external pressures.</w:t>
      </w:r>
    </w:p>
    <w:p w14:paraId="2651790A" w14:textId="77777777" w:rsidR="00B067EB" w:rsidRPr="00B067EB" w:rsidRDefault="00B067EB" w:rsidP="00B067EB">
      <w:pPr>
        <w:numPr>
          <w:ilvl w:val="0"/>
          <w:numId w:val="11"/>
        </w:numPr>
      </w:pPr>
      <w:r w:rsidRPr="00B067EB">
        <w:rPr>
          <w:b/>
          <w:bCs/>
        </w:rPr>
        <w:t>FY23 Promise</w:t>
      </w:r>
      <w:r w:rsidRPr="00B067EB">
        <w:t xml:space="preserve">: Reduce debt by ₹500 crore by FY25. </w:t>
      </w:r>
      <w:r w:rsidRPr="00B067EB">
        <w:rPr>
          <w:b/>
          <w:bCs/>
        </w:rPr>
        <w:t>Outcome</w:t>
      </w:r>
      <w:r w:rsidRPr="00B067EB">
        <w:t>: Debt down by ₹400 crore by FY24; FY25 data pending but likely met post-acquisition cash infusion.</w:t>
      </w:r>
    </w:p>
    <w:p w14:paraId="1E9D4017" w14:textId="77777777" w:rsidR="00B067EB" w:rsidRPr="00B067EB" w:rsidRDefault="00B067EB" w:rsidP="00B067EB">
      <w:pPr>
        <w:numPr>
          <w:ilvl w:val="0"/>
          <w:numId w:val="11"/>
        </w:numPr>
      </w:pPr>
      <w:r w:rsidRPr="00B067EB">
        <w:rPr>
          <w:b/>
          <w:bCs/>
        </w:rPr>
        <w:t>FY24 Promise</w:t>
      </w:r>
      <w:r w:rsidRPr="00B067EB">
        <w:t xml:space="preserve">: Expand premium product share to 40%. </w:t>
      </w:r>
      <w:r w:rsidRPr="00B067EB">
        <w:rPr>
          <w:b/>
          <w:bCs/>
        </w:rPr>
        <w:t>Outcome</w:t>
      </w:r>
      <w:r w:rsidRPr="00B067EB">
        <w:t>: Reached ~35%, slightly below target.</w:t>
      </w:r>
    </w:p>
    <w:p w14:paraId="11B06276" w14:textId="77777777" w:rsidR="00B067EB" w:rsidRPr="00B067EB" w:rsidRDefault="00B067EB" w:rsidP="00B067EB">
      <w:pPr>
        <w:rPr>
          <w:b/>
          <w:bCs/>
        </w:rPr>
      </w:pPr>
      <w:r w:rsidRPr="00B067EB">
        <w:rPr>
          <w:b/>
          <w:bCs/>
        </w:rPr>
        <w:t>Future Guidance</w:t>
      </w:r>
    </w:p>
    <w:p w14:paraId="36BE13DF" w14:textId="77777777" w:rsidR="00B067EB" w:rsidRPr="00B067EB" w:rsidRDefault="00B067EB" w:rsidP="00B067EB">
      <w:pPr>
        <w:numPr>
          <w:ilvl w:val="0"/>
          <w:numId w:val="12"/>
        </w:numPr>
      </w:pPr>
      <w:r w:rsidRPr="00B067EB">
        <w:rPr>
          <w:b/>
          <w:bCs/>
        </w:rPr>
        <w:t>FY25 Guidance</w:t>
      </w:r>
      <w:r w:rsidRPr="00B067EB">
        <w:t xml:space="preserve">: Pre-acquisition, management projected flat revenue growth and 12–14% margins. Post-acquisition, Ambuja’s guidance suggests 5–7% volume growth by FY27, leveraging synergies. </w:t>
      </w:r>
      <w:r w:rsidRPr="00B067EB">
        <w:rPr>
          <w:b/>
          <w:bCs/>
        </w:rPr>
        <w:t>Realism</w:t>
      </w:r>
      <w:r w:rsidRPr="00B067EB">
        <w:t>: Feasible given Adani’s scale, but pricing risks remain.</w:t>
      </w:r>
    </w:p>
    <w:p w14:paraId="350D2509" w14:textId="77777777" w:rsidR="00B067EB" w:rsidRPr="00B067EB" w:rsidRDefault="00B067EB" w:rsidP="00B067EB">
      <w:pPr>
        <w:numPr>
          <w:ilvl w:val="0"/>
          <w:numId w:val="12"/>
        </w:numPr>
      </w:pPr>
      <w:r w:rsidRPr="00B067EB">
        <w:rPr>
          <w:b/>
          <w:bCs/>
        </w:rPr>
        <w:t>Capex</w:t>
      </w:r>
      <w:r w:rsidRPr="00B067EB">
        <w:t>: Limited standalone capex; focus on integration and efficiency.</w:t>
      </w:r>
    </w:p>
    <w:p w14:paraId="545287A3" w14:textId="77777777" w:rsidR="00B067EB" w:rsidRPr="00B067EB" w:rsidRDefault="00B067EB" w:rsidP="00B067EB">
      <w:pPr>
        <w:rPr>
          <w:b/>
          <w:bCs/>
        </w:rPr>
      </w:pPr>
      <w:r w:rsidRPr="00B067EB">
        <w:rPr>
          <w:b/>
          <w:bCs/>
        </w:rPr>
        <w:t>Litigation/Governance</w:t>
      </w:r>
    </w:p>
    <w:p w14:paraId="7D2A48FC" w14:textId="77777777" w:rsidR="00B067EB" w:rsidRPr="00B067EB" w:rsidRDefault="00B067EB" w:rsidP="00B067EB">
      <w:pPr>
        <w:numPr>
          <w:ilvl w:val="0"/>
          <w:numId w:val="13"/>
        </w:numPr>
        <w:rPr>
          <w:rStyle w:val="Hyperlink"/>
        </w:rPr>
      </w:pPr>
      <w:r w:rsidRPr="00B067EB">
        <w:rPr>
          <w:b/>
          <w:bCs/>
        </w:rPr>
        <w:t>Litigation</w:t>
      </w:r>
      <w:r w:rsidRPr="00B067EB">
        <w:t>: No major cases reported. SEBI letters (April 2025) were procedural, resolved without fines.</w:t>
      </w:r>
      <w:r w:rsidRPr="00B067EB">
        <w:fldChar w:fldCharType="begin"/>
      </w:r>
      <w:r w:rsidRPr="00B067EB">
        <w:instrText>HYPERLINK "https://www.tipranks.com/news/company-announcements/orient-cement-receives-cautionary-letters-from-nse-and-bse" \t "_blank"</w:instrText>
      </w:r>
      <w:r w:rsidRPr="00B067EB">
        <w:fldChar w:fldCharType="separate"/>
      </w:r>
    </w:p>
    <w:p w14:paraId="5A3EE468" w14:textId="403EDFE3" w:rsidR="00B067EB" w:rsidRPr="00B067EB" w:rsidRDefault="00B067EB" w:rsidP="00B067EB">
      <w:pPr>
        <w:rPr>
          <w:rStyle w:val="Hyperlink"/>
        </w:rPr>
      </w:pPr>
      <w:r w:rsidRPr="00B067EB">
        <w:rPr>
          <w:rStyle w:val="Hyperlink"/>
        </w:rPr>
        <w:drawing>
          <wp:inline distT="0" distB="0" distL="0" distR="0" wp14:anchorId="5C888429" wp14:editId="4481BD10">
            <wp:extent cx="304800" cy="304800"/>
            <wp:effectExtent l="0" t="0" r="0" b="0"/>
            <wp:docPr id="1094132616" name="Picture 31">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CD432C" w14:textId="77777777" w:rsidR="00B067EB" w:rsidRPr="00B067EB" w:rsidRDefault="00B067EB" w:rsidP="00B067EB">
      <w:r w:rsidRPr="00B067EB">
        <w:lastRenderedPageBreak/>
        <w:fldChar w:fldCharType="end"/>
      </w:r>
    </w:p>
    <w:p w14:paraId="1296BD36" w14:textId="77777777" w:rsidR="00B067EB" w:rsidRPr="00B067EB" w:rsidRDefault="00B067EB" w:rsidP="00B067EB">
      <w:pPr>
        <w:numPr>
          <w:ilvl w:val="0"/>
          <w:numId w:val="13"/>
        </w:numPr>
      </w:pPr>
      <w:r w:rsidRPr="00B067EB">
        <w:rPr>
          <w:b/>
          <w:bCs/>
        </w:rPr>
        <w:t>Governance</w:t>
      </w:r>
      <w:r w:rsidRPr="00B067EB">
        <w:t>: Clean record, but acquisition raised concerns about promoter control (CK Birla to Adani transition).</w:t>
      </w:r>
    </w:p>
    <w:p w14:paraId="3BE58C5F" w14:textId="77777777" w:rsidR="00B067EB" w:rsidRPr="00B067EB" w:rsidRDefault="00B067EB" w:rsidP="00B067EB">
      <w:pPr>
        <w:rPr>
          <w:b/>
          <w:bCs/>
        </w:rPr>
      </w:pPr>
      <w:r w:rsidRPr="00B067EB">
        <w:rPr>
          <w:b/>
          <w:bCs/>
        </w:rPr>
        <w:t>Insider Shareholding</w:t>
      </w:r>
    </w:p>
    <w:p w14:paraId="7046E47D" w14:textId="77777777" w:rsidR="00B067EB" w:rsidRPr="00B067EB" w:rsidRDefault="00B067EB" w:rsidP="00B067EB">
      <w:pPr>
        <w:numPr>
          <w:ilvl w:val="0"/>
          <w:numId w:val="14"/>
        </w:numPr>
      </w:pPr>
      <w:r w:rsidRPr="00B067EB">
        <w:rPr>
          <w:b/>
          <w:bCs/>
        </w:rPr>
        <w:t>Pre-Acquisition (FY24)</w:t>
      </w:r>
      <w:r w:rsidRPr="00B067EB">
        <w:t>: Promoter holding at 37.9% (CK Birla Group).</w:t>
      </w:r>
    </w:p>
    <w:p w14:paraId="6AB8704A" w14:textId="77777777" w:rsidR="00B067EB" w:rsidRPr="00B067EB" w:rsidRDefault="00B067EB" w:rsidP="00B067EB">
      <w:pPr>
        <w:numPr>
          <w:ilvl w:val="0"/>
          <w:numId w:val="14"/>
        </w:numPr>
        <w:rPr>
          <w:rStyle w:val="Hyperlink"/>
        </w:rPr>
      </w:pPr>
      <w:r w:rsidRPr="00B067EB">
        <w:rPr>
          <w:b/>
          <w:bCs/>
        </w:rPr>
        <w:t>Post-Acquisition (FY25)</w:t>
      </w:r>
      <w:r w:rsidRPr="00B067EB">
        <w:t>: Ambuja holds 46.8%, with an open offer for 26% (total ~72.8% potential). Public shareholding ~25%. No insider selling reported.</w:t>
      </w:r>
      <w:r w:rsidRPr="00B067EB">
        <w:fldChar w:fldCharType="begin"/>
      </w:r>
      <w:r w:rsidRPr="00B067EB">
        <w:instrText>HYPERLINK "https://www.news18.com/business/cci-clears-ambuja-cements-acquisition-of-orient-cement-to-acquire-5-34-crore-shares-at-rs-395-40-apiece-9249901.html" \t "_blank"</w:instrText>
      </w:r>
      <w:r w:rsidRPr="00B067EB">
        <w:fldChar w:fldCharType="separate"/>
      </w:r>
    </w:p>
    <w:p w14:paraId="40B8C1D7" w14:textId="46D6FD95" w:rsidR="00B067EB" w:rsidRPr="00B067EB" w:rsidRDefault="00B067EB" w:rsidP="00B067EB">
      <w:pPr>
        <w:rPr>
          <w:rStyle w:val="Hyperlink"/>
        </w:rPr>
      </w:pPr>
      <w:r w:rsidRPr="00B067EB">
        <w:rPr>
          <w:rStyle w:val="Hyperlink"/>
        </w:rPr>
        <w:drawing>
          <wp:inline distT="0" distB="0" distL="0" distR="0" wp14:anchorId="7C42F414" wp14:editId="23E5ED8D">
            <wp:extent cx="304800" cy="304800"/>
            <wp:effectExtent l="0" t="0" r="0" b="0"/>
            <wp:docPr id="1589167586" name="Picture 30">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F131B8" w14:textId="77777777" w:rsidR="00B067EB" w:rsidRPr="00B067EB" w:rsidRDefault="00B067EB" w:rsidP="00B067EB">
      <w:r w:rsidRPr="00B067EB">
        <w:fldChar w:fldCharType="end"/>
      </w:r>
    </w:p>
    <w:p w14:paraId="620D26CD" w14:textId="77777777" w:rsidR="00B067EB" w:rsidRPr="00B067EB" w:rsidRDefault="00B067EB" w:rsidP="00B067EB">
      <w:r w:rsidRPr="00B067EB">
        <w:pict w14:anchorId="2F9AA5A4">
          <v:rect id="_x0000_i1180" style="width:0;height:1.5pt" o:hralign="center" o:hrstd="t" o:hr="t" fillcolor="#a0a0a0" stroked="f"/>
        </w:pict>
      </w:r>
    </w:p>
    <w:p w14:paraId="2D9660D6" w14:textId="77777777" w:rsidR="00B067EB" w:rsidRPr="00B067EB" w:rsidRDefault="00B067EB" w:rsidP="00B067EB">
      <w:pPr>
        <w:rPr>
          <w:b/>
          <w:bCs/>
        </w:rPr>
      </w:pPr>
      <w:r w:rsidRPr="00B067EB">
        <w:rPr>
          <w:b/>
          <w:bCs/>
        </w:rPr>
        <w:t>3. Competitive Analysis</w:t>
      </w:r>
    </w:p>
    <w:p w14:paraId="7D0DCDD3" w14:textId="77777777" w:rsidR="00B067EB" w:rsidRPr="00B067EB" w:rsidRDefault="00B067EB" w:rsidP="00B067EB">
      <w:pPr>
        <w:rPr>
          <w:b/>
          <w:bCs/>
        </w:rPr>
      </w:pPr>
      <w:r w:rsidRPr="00B067EB">
        <w:rPr>
          <w:b/>
          <w:bCs/>
        </w:rPr>
        <w:t>Top Competitors</w:t>
      </w:r>
    </w:p>
    <w:p w14:paraId="159E20ED" w14:textId="77777777" w:rsidR="00B067EB" w:rsidRPr="00B067EB" w:rsidRDefault="00B067EB" w:rsidP="00B067EB">
      <w:pPr>
        <w:numPr>
          <w:ilvl w:val="0"/>
          <w:numId w:val="15"/>
        </w:numPr>
      </w:pPr>
      <w:r w:rsidRPr="00B067EB">
        <w:rPr>
          <w:b/>
          <w:bCs/>
        </w:rPr>
        <w:t>Indian</w:t>
      </w:r>
      <w:r w:rsidRPr="00B067EB">
        <w:t>: UltraTech Cement (150 MTPA), ACC (38 MTPA), Ambuja Cements (77 MTPA pre-acquisition), Shree Cement (50 MTPA).</w:t>
      </w:r>
    </w:p>
    <w:p w14:paraId="6E61CE94" w14:textId="77777777" w:rsidR="00B067EB" w:rsidRPr="00B067EB" w:rsidRDefault="00B067EB" w:rsidP="00B067EB">
      <w:pPr>
        <w:numPr>
          <w:ilvl w:val="0"/>
          <w:numId w:val="15"/>
        </w:numPr>
      </w:pPr>
      <w:r w:rsidRPr="00B067EB">
        <w:rPr>
          <w:b/>
          <w:bCs/>
        </w:rPr>
        <w:t>Global</w:t>
      </w:r>
      <w:r w:rsidRPr="00B067EB">
        <w:t xml:space="preserve">: Limited direct competition due to cement’s localized nature, but HeidelbergCement (via </w:t>
      </w:r>
      <w:proofErr w:type="spellStart"/>
      <w:r w:rsidRPr="00B067EB">
        <w:t>Zuari</w:t>
      </w:r>
      <w:proofErr w:type="spellEnd"/>
      <w:r w:rsidRPr="00B067EB">
        <w:t xml:space="preserve">) and </w:t>
      </w:r>
      <w:proofErr w:type="spellStart"/>
      <w:r w:rsidRPr="00B067EB">
        <w:t>LafargeHolcim</w:t>
      </w:r>
      <w:proofErr w:type="spellEnd"/>
      <w:r w:rsidRPr="00B067EB">
        <w:t xml:space="preserve"> (via ACC/Ambuja) are relevant.</w:t>
      </w:r>
    </w:p>
    <w:p w14:paraId="393F0398" w14:textId="77777777" w:rsidR="00B067EB" w:rsidRPr="00B067EB" w:rsidRDefault="00B067EB" w:rsidP="00B067EB">
      <w:pPr>
        <w:rPr>
          <w:b/>
          <w:bCs/>
        </w:rPr>
      </w:pPr>
      <w:r w:rsidRPr="00B067EB">
        <w:rPr>
          <w:b/>
          <w:bCs/>
        </w:rPr>
        <w:t>Financial Comparison (FY24, ₹ crore)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1537"/>
        <w:gridCol w:w="1041"/>
        <w:gridCol w:w="711"/>
        <w:gridCol w:w="830"/>
        <w:gridCol w:w="1506"/>
      </w:tblGrid>
      <w:tr w:rsidR="00B067EB" w:rsidRPr="00B067EB" w14:paraId="347C78B9" w14:textId="77777777" w:rsidTr="00B067EB">
        <w:trPr>
          <w:tblHeader/>
          <w:tblCellSpacing w:w="15" w:type="dxa"/>
        </w:trPr>
        <w:tc>
          <w:tcPr>
            <w:tcW w:w="0" w:type="auto"/>
            <w:vAlign w:val="center"/>
            <w:hideMark/>
          </w:tcPr>
          <w:p w14:paraId="4179B390" w14:textId="77777777" w:rsidR="00B067EB" w:rsidRPr="00B067EB" w:rsidRDefault="00B067EB" w:rsidP="00B067EB">
            <w:pPr>
              <w:rPr>
                <w:b/>
                <w:bCs/>
              </w:rPr>
            </w:pPr>
            <w:r w:rsidRPr="00B067EB">
              <w:rPr>
                <w:b/>
                <w:bCs/>
              </w:rPr>
              <w:t>Metric</w:t>
            </w:r>
          </w:p>
        </w:tc>
        <w:tc>
          <w:tcPr>
            <w:tcW w:w="0" w:type="auto"/>
            <w:vAlign w:val="center"/>
            <w:hideMark/>
          </w:tcPr>
          <w:p w14:paraId="74EA70E1" w14:textId="77777777" w:rsidR="00B067EB" w:rsidRPr="00B067EB" w:rsidRDefault="00B067EB" w:rsidP="00B067EB">
            <w:pPr>
              <w:rPr>
                <w:b/>
                <w:bCs/>
              </w:rPr>
            </w:pPr>
            <w:r w:rsidRPr="00B067EB">
              <w:rPr>
                <w:b/>
                <w:bCs/>
              </w:rPr>
              <w:t>Orient Cement</w:t>
            </w:r>
          </w:p>
        </w:tc>
        <w:tc>
          <w:tcPr>
            <w:tcW w:w="0" w:type="auto"/>
            <w:vAlign w:val="center"/>
            <w:hideMark/>
          </w:tcPr>
          <w:p w14:paraId="60F95236" w14:textId="77777777" w:rsidR="00B067EB" w:rsidRPr="00B067EB" w:rsidRDefault="00B067EB" w:rsidP="00B067EB">
            <w:pPr>
              <w:rPr>
                <w:b/>
                <w:bCs/>
              </w:rPr>
            </w:pPr>
            <w:r w:rsidRPr="00B067EB">
              <w:rPr>
                <w:b/>
                <w:bCs/>
              </w:rPr>
              <w:t>UltraTech</w:t>
            </w:r>
          </w:p>
        </w:tc>
        <w:tc>
          <w:tcPr>
            <w:tcW w:w="0" w:type="auto"/>
            <w:vAlign w:val="center"/>
            <w:hideMark/>
          </w:tcPr>
          <w:p w14:paraId="57D3BFCD" w14:textId="77777777" w:rsidR="00B067EB" w:rsidRPr="00B067EB" w:rsidRDefault="00B067EB" w:rsidP="00B067EB">
            <w:pPr>
              <w:rPr>
                <w:b/>
                <w:bCs/>
              </w:rPr>
            </w:pPr>
            <w:r w:rsidRPr="00B067EB">
              <w:rPr>
                <w:b/>
                <w:bCs/>
              </w:rPr>
              <w:t>ACC</w:t>
            </w:r>
          </w:p>
        </w:tc>
        <w:tc>
          <w:tcPr>
            <w:tcW w:w="0" w:type="auto"/>
            <w:vAlign w:val="center"/>
            <w:hideMark/>
          </w:tcPr>
          <w:p w14:paraId="717201AC" w14:textId="77777777" w:rsidR="00B067EB" w:rsidRPr="00B067EB" w:rsidRDefault="00B067EB" w:rsidP="00B067EB">
            <w:pPr>
              <w:rPr>
                <w:b/>
                <w:bCs/>
              </w:rPr>
            </w:pPr>
            <w:r w:rsidRPr="00B067EB">
              <w:rPr>
                <w:b/>
                <w:bCs/>
              </w:rPr>
              <w:t>Ambuja</w:t>
            </w:r>
          </w:p>
        </w:tc>
        <w:tc>
          <w:tcPr>
            <w:tcW w:w="0" w:type="auto"/>
            <w:vAlign w:val="center"/>
            <w:hideMark/>
          </w:tcPr>
          <w:p w14:paraId="3DB71A65" w14:textId="77777777" w:rsidR="00B067EB" w:rsidRPr="00B067EB" w:rsidRDefault="00B067EB" w:rsidP="00B067EB">
            <w:pPr>
              <w:rPr>
                <w:b/>
                <w:bCs/>
              </w:rPr>
            </w:pPr>
            <w:r w:rsidRPr="00B067EB">
              <w:rPr>
                <w:b/>
                <w:bCs/>
              </w:rPr>
              <w:t>Shree Cement</w:t>
            </w:r>
          </w:p>
        </w:tc>
      </w:tr>
      <w:tr w:rsidR="00B067EB" w:rsidRPr="00B067EB" w14:paraId="7A95142D" w14:textId="77777777" w:rsidTr="00B067EB">
        <w:trPr>
          <w:tblCellSpacing w:w="15" w:type="dxa"/>
        </w:trPr>
        <w:tc>
          <w:tcPr>
            <w:tcW w:w="0" w:type="auto"/>
            <w:vAlign w:val="center"/>
            <w:hideMark/>
          </w:tcPr>
          <w:p w14:paraId="2630177E" w14:textId="77777777" w:rsidR="00B067EB" w:rsidRPr="00B067EB" w:rsidRDefault="00B067EB" w:rsidP="00B067EB">
            <w:r w:rsidRPr="00B067EB">
              <w:t>Revenue</w:t>
            </w:r>
          </w:p>
        </w:tc>
        <w:tc>
          <w:tcPr>
            <w:tcW w:w="0" w:type="auto"/>
            <w:vAlign w:val="center"/>
            <w:hideMark/>
          </w:tcPr>
          <w:p w14:paraId="1E01FECA" w14:textId="77777777" w:rsidR="00B067EB" w:rsidRPr="00B067EB" w:rsidRDefault="00B067EB" w:rsidP="00B067EB">
            <w:r w:rsidRPr="00B067EB">
              <w:t>3,200</w:t>
            </w:r>
          </w:p>
        </w:tc>
        <w:tc>
          <w:tcPr>
            <w:tcW w:w="0" w:type="auto"/>
            <w:vAlign w:val="center"/>
            <w:hideMark/>
          </w:tcPr>
          <w:p w14:paraId="4D983FD5" w14:textId="77777777" w:rsidR="00B067EB" w:rsidRPr="00B067EB" w:rsidRDefault="00B067EB" w:rsidP="00B067EB">
            <w:r w:rsidRPr="00B067EB">
              <w:t>70,908</w:t>
            </w:r>
          </w:p>
        </w:tc>
        <w:tc>
          <w:tcPr>
            <w:tcW w:w="0" w:type="auto"/>
            <w:vAlign w:val="center"/>
            <w:hideMark/>
          </w:tcPr>
          <w:p w14:paraId="64D5ADE9" w14:textId="77777777" w:rsidR="00B067EB" w:rsidRPr="00B067EB" w:rsidRDefault="00B067EB" w:rsidP="00B067EB">
            <w:r w:rsidRPr="00B067EB">
              <w:t>19,959</w:t>
            </w:r>
          </w:p>
        </w:tc>
        <w:tc>
          <w:tcPr>
            <w:tcW w:w="0" w:type="auto"/>
            <w:vAlign w:val="center"/>
            <w:hideMark/>
          </w:tcPr>
          <w:p w14:paraId="747DB42F" w14:textId="77777777" w:rsidR="00B067EB" w:rsidRPr="00B067EB" w:rsidRDefault="00B067EB" w:rsidP="00B067EB">
            <w:r w:rsidRPr="00B067EB">
              <w:t>33,160</w:t>
            </w:r>
          </w:p>
        </w:tc>
        <w:tc>
          <w:tcPr>
            <w:tcW w:w="0" w:type="auto"/>
            <w:vAlign w:val="center"/>
            <w:hideMark/>
          </w:tcPr>
          <w:p w14:paraId="15766889" w14:textId="77777777" w:rsidR="00B067EB" w:rsidRPr="00B067EB" w:rsidRDefault="00B067EB" w:rsidP="00B067EB">
            <w:r w:rsidRPr="00B067EB">
              <w:t>20,510</w:t>
            </w:r>
          </w:p>
        </w:tc>
      </w:tr>
      <w:tr w:rsidR="00B067EB" w:rsidRPr="00B067EB" w14:paraId="5E808B32" w14:textId="77777777" w:rsidTr="00B067EB">
        <w:trPr>
          <w:tblCellSpacing w:w="15" w:type="dxa"/>
        </w:trPr>
        <w:tc>
          <w:tcPr>
            <w:tcW w:w="0" w:type="auto"/>
            <w:vAlign w:val="center"/>
            <w:hideMark/>
          </w:tcPr>
          <w:p w14:paraId="4433FC55" w14:textId="77777777" w:rsidR="00B067EB" w:rsidRPr="00B067EB" w:rsidRDefault="00B067EB" w:rsidP="00B067EB">
            <w:r w:rsidRPr="00B067EB">
              <w:t>EBITDA</w:t>
            </w:r>
          </w:p>
        </w:tc>
        <w:tc>
          <w:tcPr>
            <w:tcW w:w="0" w:type="auto"/>
            <w:vAlign w:val="center"/>
            <w:hideMark/>
          </w:tcPr>
          <w:p w14:paraId="196417A2" w14:textId="77777777" w:rsidR="00B067EB" w:rsidRPr="00B067EB" w:rsidRDefault="00B067EB" w:rsidP="00B067EB">
            <w:r w:rsidRPr="00B067EB">
              <w:t>534</w:t>
            </w:r>
          </w:p>
        </w:tc>
        <w:tc>
          <w:tcPr>
            <w:tcW w:w="0" w:type="auto"/>
            <w:vAlign w:val="center"/>
            <w:hideMark/>
          </w:tcPr>
          <w:p w14:paraId="2FEB51A8" w14:textId="77777777" w:rsidR="00B067EB" w:rsidRPr="00B067EB" w:rsidRDefault="00B067EB" w:rsidP="00B067EB">
            <w:r w:rsidRPr="00B067EB">
              <w:t>12,762</w:t>
            </w:r>
          </w:p>
        </w:tc>
        <w:tc>
          <w:tcPr>
            <w:tcW w:w="0" w:type="auto"/>
            <w:vAlign w:val="center"/>
            <w:hideMark/>
          </w:tcPr>
          <w:p w14:paraId="71A86F86" w14:textId="77777777" w:rsidR="00B067EB" w:rsidRPr="00B067EB" w:rsidRDefault="00B067EB" w:rsidP="00B067EB">
            <w:r w:rsidRPr="00B067EB">
              <w:t>2,695</w:t>
            </w:r>
          </w:p>
        </w:tc>
        <w:tc>
          <w:tcPr>
            <w:tcW w:w="0" w:type="auto"/>
            <w:vAlign w:val="center"/>
            <w:hideMark/>
          </w:tcPr>
          <w:p w14:paraId="65CB4B2F" w14:textId="77777777" w:rsidR="00B067EB" w:rsidRPr="00B067EB" w:rsidRDefault="00B067EB" w:rsidP="00B067EB">
            <w:r w:rsidRPr="00B067EB">
              <w:t>5,606</w:t>
            </w:r>
          </w:p>
        </w:tc>
        <w:tc>
          <w:tcPr>
            <w:tcW w:w="0" w:type="auto"/>
            <w:vAlign w:val="center"/>
            <w:hideMark/>
          </w:tcPr>
          <w:p w14:paraId="43102C4E" w14:textId="77777777" w:rsidR="00B067EB" w:rsidRPr="00B067EB" w:rsidRDefault="00B067EB" w:rsidP="00B067EB">
            <w:r w:rsidRPr="00B067EB">
              <w:t>4,250</w:t>
            </w:r>
          </w:p>
        </w:tc>
      </w:tr>
      <w:tr w:rsidR="00B067EB" w:rsidRPr="00B067EB" w14:paraId="347D53F2" w14:textId="77777777" w:rsidTr="00B067EB">
        <w:trPr>
          <w:tblCellSpacing w:w="15" w:type="dxa"/>
        </w:trPr>
        <w:tc>
          <w:tcPr>
            <w:tcW w:w="0" w:type="auto"/>
            <w:vAlign w:val="center"/>
            <w:hideMark/>
          </w:tcPr>
          <w:p w14:paraId="0468D55C" w14:textId="77777777" w:rsidR="00B067EB" w:rsidRPr="00B067EB" w:rsidRDefault="00B067EB" w:rsidP="00B067EB">
            <w:r w:rsidRPr="00B067EB">
              <w:t>EBITDA Margin (%)</w:t>
            </w:r>
          </w:p>
        </w:tc>
        <w:tc>
          <w:tcPr>
            <w:tcW w:w="0" w:type="auto"/>
            <w:vAlign w:val="center"/>
            <w:hideMark/>
          </w:tcPr>
          <w:p w14:paraId="44CDD5E1" w14:textId="77777777" w:rsidR="00B067EB" w:rsidRPr="00B067EB" w:rsidRDefault="00B067EB" w:rsidP="00B067EB">
            <w:r w:rsidRPr="00B067EB">
              <w:t>16.7</w:t>
            </w:r>
          </w:p>
        </w:tc>
        <w:tc>
          <w:tcPr>
            <w:tcW w:w="0" w:type="auto"/>
            <w:vAlign w:val="center"/>
            <w:hideMark/>
          </w:tcPr>
          <w:p w14:paraId="27930011" w14:textId="77777777" w:rsidR="00B067EB" w:rsidRPr="00B067EB" w:rsidRDefault="00B067EB" w:rsidP="00B067EB">
            <w:r w:rsidRPr="00B067EB">
              <w:t>18.0</w:t>
            </w:r>
          </w:p>
        </w:tc>
        <w:tc>
          <w:tcPr>
            <w:tcW w:w="0" w:type="auto"/>
            <w:vAlign w:val="center"/>
            <w:hideMark/>
          </w:tcPr>
          <w:p w14:paraId="4D765229" w14:textId="77777777" w:rsidR="00B067EB" w:rsidRPr="00B067EB" w:rsidRDefault="00B067EB" w:rsidP="00B067EB">
            <w:r w:rsidRPr="00B067EB">
              <w:t>13.5</w:t>
            </w:r>
          </w:p>
        </w:tc>
        <w:tc>
          <w:tcPr>
            <w:tcW w:w="0" w:type="auto"/>
            <w:vAlign w:val="center"/>
            <w:hideMark/>
          </w:tcPr>
          <w:p w14:paraId="4F3ABB65" w14:textId="77777777" w:rsidR="00B067EB" w:rsidRPr="00B067EB" w:rsidRDefault="00B067EB" w:rsidP="00B067EB">
            <w:r w:rsidRPr="00B067EB">
              <w:t>16.9</w:t>
            </w:r>
          </w:p>
        </w:tc>
        <w:tc>
          <w:tcPr>
            <w:tcW w:w="0" w:type="auto"/>
            <w:vAlign w:val="center"/>
            <w:hideMark/>
          </w:tcPr>
          <w:p w14:paraId="1B33FCFE" w14:textId="77777777" w:rsidR="00B067EB" w:rsidRPr="00B067EB" w:rsidRDefault="00B067EB" w:rsidP="00B067EB">
            <w:r w:rsidRPr="00B067EB">
              <w:t>20.7</w:t>
            </w:r>
          </w:p>
        </w:tc>
      </w:tr>
      <w:tr w:rsidR="00B067EB" w:rsidRPr="00B067EB" w14:paraId="5F41CBD9" w14:textId="77777777" w:rsidTr="00B067EB">
        <w:trPr>
          <w:tblCellSpacing w:w="15" w:type="dxa"/>
        </w:trPr>
        <w:tc>
          <w:tcPr>
            <w:tcW w:w="0" w:type="auto"/>
            <w:vAlign w:val="center"/>
            <w:hideMark/>
          </w:tcPr>
          <w:p w14:paraId="470A432E" w14:textId="77777777" w:rsidR="00B067EB" w:rsidRPr="00B067EB" w:rsidRDefault="00B067EB" w:rsidP="00B067EB">
            <w:r w:rsidRPr="00B067EB">
              <w:t>Net Profit</w:t>
            </w:r>
          </w:p>
        </w:tc>
        <w:tc>
          <w:tcPr>
            <w:tcW w:w="0" w:type="auto"/>
            <w:vAlign w:val="center"/>
            <w:hideMark/>
          </w:tcPr>
          <w:p w14:paraId="6FC01480" w14:textId="77777777" w:rsidR="00B067EB" w:rsidRPr="00B067EB" w:rsidRDefault="00B067EB" w:rsidP="00B067EB">
            <w:r w:rsidRPr="00B067EB">
              <w:t>175</w:t>
            </w:r>
          </w:p>
        </w:tc>
        <w:tc>
          <w:tcPr>
            <w:tcW w:w="0" w:type="auto"/>
            <w:vAlign w:val="center"/>
            <w:hideMark/>
          </w:tcPr>
          <w:p w14:paraId="36DF55B5" w14:textId="77777777" w:rsidR="00B067EB" w:rsidRPr="00B067EB" w:rsidRDefault="00B067EB" w:rsidP="00B067EB">
            <w:r w:rsidRPr="00B067EB">
              <w:t>7,000</w:t>
            </w:r>
          </w:p>
        </w:tc>
        <w:tc>
          <w:tcPr>
            <w:tcW w:w="0" w:type="auto"/>
            <w:vAlign w:val="center"/>
            <w:hideMark/>
          </w:tcPr>
          <w:p w14:paraId="30E7C71D" w14:textId="77777777" w:rsidR="00B067EB" w:rsidRPr="00B067EB" w:rsidRDefault="00B067EB" w:rsidP="00B067EB">
            <w:r w:rsidRPr="00B067EB">
              <w:t>2,337</w:t>
            </w:r>
          </w:p>
        </w:tc>
        <w:tc>
          <w:tcPr>
            <w:tcW w:w="0" w:type="auto"/>
            <w:vAlign w:val="center"/>
            <w:hideMark/>
          </w:tcPr>
          <w:p w14:paraId="46CE6C84" w14:textId="77777777" w:rsidR="00B067EB" w:rsidRPr="00B067EB" w:rsidRDefault="00B067EB" w:rsidP="00B067EB">
            <w:r w:rsidRPr="00B067EB">
              <w:t>4,738</w:t>
            </w:r>
          </w:p>
        </w:tc>
        <w:tc>
          <w:tcPr>
            <w:tcW w:w="0" w:type="auto"/>
            <w:vAlign w:val="center"/>
            <w:hideMark/>
          </w:tcPr>
          <w:p w14:paraId="7825DAA4" w14:textId="77777777" w:rsidR="00B067EB" w:rsidRPr="00B067EB" w:rsidRDefault="00B067EB" w:rsidP="00B067EB">
            <w:r w:rsidRPr="00B067EB">
              <w:t>2,391</w:t>
            </w:r>
          </w:p>
        </w:tc>
      </w:tr>
      <w:tr w:rsidR="00B067EB" w:rsidRPr="00B067EB" w14:paraId="2F958453" w14:textId="77777777" w:rsidTr="00B067EB">
        <w:trPr>
          <w:tblCellSpacing w:w="15" w:type="dxa"/>
        </w:trPr>
        <w:tc>
          <w:tcPr>
            <w:tcW w:w="0" w:type="auto"/>
            <w:vAlign w:val="center"/>
            <w:hideMark/>
          </w:tcPr>
          <w:p w14:paraId="7A3630D9" w14:textId="77777777" w:rsidR="00B067EB" w:rsidRPr="00B067EB" w:rsidRDefault="00B067EB" w:rsidP="00B067EB">
            <w:r w:rsidRPr="00B067EB">
              <w:t>Debt-to-Equity (x)</w:t>
            </w:r>
          </w:p>
        </w:tc>
        <w:tc>
          <w:tcPr>
            <w:tcW w:w="0" w:type="auto"/>
            <w:vAlign w:val="center"/>
            <w:hideMark/>
          </w:tcPr>
          <w:p w14:paraId="0BFD000D" w14:textId="77777777" w:rsidR="00B067EB" w:rsidRPr="00B067EB" w:rsidRDefault="00B067EB" w:rsidP="00B067EB">
            <w:r w:rsidRPr="00B067EB">
              <w:t>0.3</w:t>
            </w:r>
          </w:p>
        </w:tc>
        <w:tc>
          <w:tcPr>
            <w:tcW w:w="0" w:type="auto"/>
            <w:vAlign w:val="center"/>
            <w:hideMark/>
          </w:tcPr>
          <w:p w14:paraId="03F7B916" w14:textId="77777777" w:rsidR="00B067EB" w:rsidRPr="00B067EB" w:rsidRDefault="00B067EB" w:rsidP="00B067EB">
            <w:r w:rsidRPr="00B067EB">
              <w:t>0.2</w:t>
            </w:r>
          </w:p>
        </w:tc>
        <w:tc>
          <w:tcPr>
            <w:tcW w:w="0" w:type="auto"/>
            <w:vAlign w:val="center"/>
            <w:hideMark/>
          </w:tcPr>
          <w:p w14:paraId="5184239C" w14:textId="77777777" w:rsidR="00B067EB" w:rsidRPr="00B067EB" w:rsidRDefault="00B067EB" w:rsidP="00B067EB">
            <w:r w:rsidRPr="00B067EB">
              <w:t>0.0</w:t>
            </w:r>
          </w:p>
        </w:tc>
        <w:tc>
          <w:tcPr>
            <w:tcW w:w="0" w:type="auto"/>
            <w:vAlign w:val="center"/>
            <w:hideMark/>
          </w:tcPr>
          <w:p w14:paraId="5556EE5D" w14:textId="77777777" w:rsidR="00B067EB" w:rsidRPr="00B067EB" w:rsidRDefault="00B067EB" w:rsidP="00B067EB">
            <w:r w:rsidRPr="00B067EB">
              <w:t>0.0</w:t>
            </w:r>
          </w:p>
        </w:tc>
        <w:tc>
          <w:tcPr>
            <w:tcW w:w="0" w:type="auto"/>
            <w:vAlign w:val="center"/>
            <w:hideMark/>
          </w:tcPr>
          <w:p w14:paraId="030345B3" w14:textId="77777777" w:rsidR="00B067EB" w:rsidRPr="00B067EB" w:rsidRDefault="00B067EB" w:rsidP="00B067EB">
            <w:r w:rsidRPr="00B067EB">
              <w:t>0.1</w:t>
            </w:r>
          </w:p>
        </w:tc>
      </w:tr>
      <w:tr w:rsidR="00B067EB" w:rsidRPr="00B067EB" w14:paraId="1AB80A28" w14:textId="77777777" w:rsidTr="00B067EB">
        <w:trPr>
          <w:tblCellSpacing w:w="15" w:type="dxa"/>
        </w:trPr>
        <w:tc>
          <w:tcPr>
            <w:tcW w:w="0" w:type="auto"/>
            <w:vAlign w:val="center"/>
            <w:hideMark/>
          </w:tcPr>
          <w:p w14:paraId="160222A6" w14:textId="77777777" w:rsidR="00B067EB" w:rsidRPr="00B067EB" w:rsidRDefault="00B067EB" w:rsidP="00B067EB">
            <w:r w:rsidRPr="00B067EB">
              <w:t>ROE (%)</w:t>
            </w:r>
          </w:p>
        </w:tc>
        <w:tc>
          <w:tcPr>
            <w:tcW w:w="0" w:type="auto"/>
            <w:vAlign w:val="center"/>
            <w:hideMark/>
          </w:tcPr>
          <w:p w14:paraId="6AF7F126" w14:textId="77777777" w:rsidR="00B067EB" w:rsidRPr="00B067EB" w:rsidRDefault="00B067EB" w:rsidP="00B067EB">
            <w:r w:rsidRPr="00B067EB">
              <w:t>10.5</w:t>
            </w:r>
          </w:p>
        </w:tc>
        <w:tc>
          <w:tcPr>
            <w:tcW w:w="0" w:type="auto"/>
            <w:vAlign w:val="center"/>
            <w:hideMark/>
          </w:tcPr>
          <w:p w14:paraId="44EB3D82" w14:textId="77777777" w:rsidR="00B067EB" w:rsidRPr="00B067EB" w:rsidRDefault="00B067EB" w:rsidP="00B067EB">
            <w:r w:rsidRPr="00B067EB">
              <w:t>14.7</w:t>
            </w:r>
          </w:p>
        </w:tc>
        <w:tc>
          <w:tcPr>
            <w:tcW w:w="0" w:type="auto"/>
            <w:vAlign w:val="center"/>
            <w:hideMark/>
          </w:tcPr>
          <w:p w14:paraId="0FA38410" w14:textId="77777777" w:rsidR="00B067EB" w:rsidRPr="00B067EB" w:rsidRDefault="00B067EB" w:rsidP="00B067EB">
            <w:r w:rsidRPr="00B067EB">
              <w:t>14.4</w:t>
            </w:r>
          </w:p>
        </w:tc>
        <w:tc>
          <w:tcPr>
            <w:tcW w:w="0" w:type="auto"/>
            <w:vAlign w:val="center"/>
            <w:hideMark/>
          </w:tcPr>
          <w:p w14:paraId="0F0E1981" w14:textId="77777777" w:rsidR="00B067EB" w:rsidRPr="00B067EB" w:rsidRDefault="00B067EB" w:rsidP="00B067EB">
            <w:r w:rsidRPr="00B067EB">
              <w:t>12.6</w:t>
            </w:r>
          </w:p>
        </w:tc>
        <w:tc>
          <w:tcPr>
            <w:tcW w:w="0" w:type="auto"/>
            <w:vAlign w:val="center"/>
            <w:hideMark/>
          </w:tcPr>
          <w:p w14:paraId="2AF52C7A" w14:textId="77777777" w:rsidR="00B067EB" w:rsidRPr="00B067EB" w:rsidRDefault="00B067EB" w:rsidP="00B067EB">
            <w:r w:rsidRPr="00B067EB">
              <w:t>12.9</w:t>
            </w:r>
          </w:p>
        </w:tc>
      </w:tr>
    </w:tbl>
    <w:p w14:paraId="216A5F19" w14:textId="77777777" w:rsidR="00B067EB" w:rsidRPr="00B067EB" w:rsidRDefault="00B067EB" w:rsidP="00B067EB">
      <w:r w:rsidRPr="00B067EB">
        <w:rPr>
          <w:b/>
          <w:bCs/>
        </w:rPr>
        <w:t>Observations</w:t>
      </w:r>
      <w:r w:rsidRPr="00B067EB">
        <w:t>:</w:t>
      </w:r>
    </w:p>
    <w:p w14:paraId="08CF0F43" w14:textId="77777777" w:rsidR="00B067EB" w:rsidRPr="00B067EB" w:rsidRDefault="00B067EB" w:rsidP="00B067EB">
      <w:pPr>
        <w:numPr>
          <w:ilvl w:val="0"/>
          <w:numId w:val="16"/>
        </w:numPr>
      </w:pPr>
      <w:r w:rsidRPr="00B067EB">
        <w:t>Orient lags in scale (8.5 MTPA vs. UltraTech’s 150 MTPA) but matches mid-tier players like Dalmia Bharat (~45 MTPA, not shown).</w:t>
      </w:r>
    </w:p>
    <w:p w14:paraId="0A893444" w14:textId="77777777" w:rsidR="00B067EB" w:rsidRPr="00B067EB" w:rsidRDefault="00B067EB" w:rsidP="00B067EB">
      <w:pPr>
        <w:numPr>
          <w:ilvl w:val="0"/>
          <w:numId w:val="16"/>
        </w:numPr>
      </w:pPr>
      <w:r w:rsidRPr="00B067EB">
        <w:t>Margins competitive in FY24 but dipped in FY25 (12.48% vs. peers’ 15–20%).</w:t>
      </w:r>
    </w:p>
    <w:p w14:paraId="4CA6CDA6" w14:textId="77777777" w:rsidR="00B067EB" w:rsidRPr="00B067EB" w:rsidRDefault="00B067EB" w:rsidP="00B067EB">
      <w:pPr>
        <w:numPr>
          <w:ilvl w:val="0"/>
          <w:numId w:val="16"/>
        </w:numPr>
      </w:pPr>
      <w:r w:rsidRPr="00B067EB">
        <w:t>Low debt post-FY24 strengthens balance sheet, akin to ACC/Ambuja.</w:t>
      </w:r>
    </w:p>
    <w:p w14:paraId="362C34F1" w14:textId="77777777" w:rsidR="00B067EB" w:rsidRPr="00B067EB" w:rsidRDefault="00B067EB" w:rsidP="00B067EB">
      <w:pPr>
        <w:rPr>
          <w:b/>
          <w:bCs/>
        </w:rPr>
      </w:pPr>
      <w:r w:rsidRPr="00B067EB">
        <w:rPr>
          <w:b/>
          <w:bCs/>
        </w:rPr>
        <w:t>Business Strategies and Future Plans</w:t>
      </w:r>
    </w:p>
    <w:p w14:paraId="58F7E102" w14:textId="77777777" w:rsidR="00B067EB" w:rsidRPr="00B067EB" w:rsidRDefault="00B067EB" w:rsidP="00B067EB">
      <w:pPr>
        <w:numPr>
          <w:ilvl w:val="0"/>
          <w:numId w:val="17"/>
        </w:numPr>
      </w:pPr>
      <w:r w:rsidRPr="00B067EB">
        <w:rPr>
          <w:b/>
          <w:bCs/>
        </w:rPr>
        <w:lastRenderedPageBreak/>
        <w:t>Orient Cement</w:t>
      </w:r>
      <w:r w:rsidRPr="00B067EB">
        <w:t>: Focus on premium retail, cost efficiency (WHRS, green energy), and post-acquisition synergies (Adani’s limestone reserves, distribution).</w:t>
      </w:r>
    </w:p>
    <w:p w14:paraId="387FF34D" w14:textId="77777777" w:rsidR="00B067EB" w:rsidRPr="00B067EB" w:rsidRDefault="00B067EB" w:rsidP="00B067EB">
      <w:pPr>
        <w:numPr>
          <w:ilvl w:val="0"/>
          <w:numId w:val="17"/>
        </w:numPr>
      </w:pPr>
      <w:r w:rsidRPr="00B067EB">
        <w:rPr>
          <w:b/>
          <w:bCs/>
        </w:rPr>
        <w:t>UltraTech</w:t>
      </w:r>
      <w:r w:rsidRPr="00B067EB">
        <w:t xml:space="preserve">: Aggressive expansion (target 200 MTPA by FY30), acquisitions (e.g., </w:t>
      </w:r>
      <w:proofErr w:type="spellStart"/>
      <w:r w:rsidRPr="00B067EB">
        <w:t>Kesoram</w:t>
      </w:r>
      <w:proofErr w:type="spellEnd"/>
      <w:r w:rsidRPr="00B067EB">
        <w:t>), and sustainability (40% green energy).</w:t>
      </w:r>
    </w:p>
    <w:p w14:paraId="1FA5A831" w14:textId="77777777" w:rsidR="00B067EB" w:rsidRPr="00B067EB" w:rsidRDefault="00B067EB" w:rsidP="00B067EB">
      <w:pPr>
        <w:numPr>
          <w:ilvl w:val="0"/>
          <w:numId w:val="17"/>
        </w:numPr>
      </w:pPr>
      <w:r w:rsidRPr="00B067EB">
        <w:rPr>
          <w:b/>
          <w:bCs/>
        </w:rPr>
        <w:t>ACC/Ambuja</w:t>
      </w:r>
      <w:r w:rsidRPr="00B067EB">
        <w:t>: Adani-driven consolidation, cost optimization, and pan-India branding (post-Orient acquisition, combined capacity ~97 MTPA).</w:t>
      </w:r>
    </w:p>
    <w:p w14:paraId="313223C3" w14:textId="77777777" w:rsidR="00B067EB" w:rsidRPr="00B067EB" w:rsidRDefault="00B067EB" w:rsidP="00B067EB">
      <w:pPr>
        <w:numPr>
          <w:ilvl w:val="0"/>
          <w:numId w:val="17"/>
        </w:numPr>
      </w:pPr>
      <w:r w:rsidRPr="00B067EB">
        <w:rPr>
          <w:b/>
          <w:bCs/>
        </w:rPr>
        <w:t>Shree Cement</w:t>
      </w:r>
      <w:r w:rsidRPr="00B067EB">
        <w:t>: North India dominance, high margins via operational excellence, and renewable energy investments.</w:t>
      </w:r>
    </w:p>
    <w:p w14:paraId="6B92C003" w14:textId="77777777" w:rsidR="00B067EB" w:rsidRPr="00B067EB" w:rsidRDefault="00B067EB" w:rsidP="00B067EB">
      <w:pPr>
        <w:rPr>
          <w:b/>
          <w:bCs/>
        </w:rPr>
      </w:pPr>
      <w:r w:rsidRPr="00B067EB">
        <w:rPr>
          <w:b/>
          <w:bCs/>
        </w:rPr>
        <w:t>Strengths and Weaknesses</w:t>
      </w:r>
    </w:p>
    <w:p w14:paraId="77DD1A90" w14:textId="77777777" w:rsidR="00B067EB" w:rsidRPr="00B067EB" w:rsidRDefault="00B067EB" w:rsidP="00B067EB">
      <w:pPr>
        <w:numPr>
          <w:ilvl w:val="0"/>
          <w:numId w:val="18"/>
        </w:numPr>
      </w:pPr>
      <w:r w:rsidRPr="00B067EB">
        <w:rPr>
          <w:b/>
          <w:bCs/>
        </w:rPr>
        <w:t>Strengths</w:t>
      </w:r>
      <w:r w:rsidRPr="00B067EB">
        <w:t xml:space="preserve">: </w:t>
      </w:r>
    </w:p>
    <w:p w14:paraId="785100AB" w14:textId="77777777" w:rsidR="00B067EB" w:rsidRPr="00B067EB" w:rsidRDefault="00B067EB" w:rsidP="00B067EB">
      <w:pPr>
        <w:numPr>
          <w:ilvl w:val="1"/>
          <w:numId w:val="18"/>
        </w:numPr>
      </w:pPr>
      <w:r w:rsidRPr="00B067EB">
        <w:t>Strong brand in South/Central India (Birla A1).</w:t>
      </w:r>
    </w:p>
    <w:p w14:paraId="569391C9" w14:textId="77777777" w:rsidR="00B067EB" w:rsidRPr="00B067EB" w:rsidRDefault="00B067EB" w:rsidP="00B067EB">
      <w:pPr>
        <w:numPr>
          <w:ilvl w:val="1"/>
          <w:numId w:val="18"/>
        </w:numPr>
      </w:pPr>
      <w:r w:rsidRPr="00B067EB">
        <w:t>Low debt and efficient operations (post-WHRS).</w:t>
      </w:r>
    </w:p>
    <w:p w14:paraId="764CBAFC" w14:textId="77777777" w:rsidR="00B067EB" w:rsidRPr="00B067EB" w:rsidRDefault="00B067EB" w:rsidP="00B067EB">
      <w:pPr>
        <w:numPr>
          <w:ilvl w:val="1"/>
          <w:numId w:val="18"/>
        </w:numPr>
      </w:pPr>
      <w:r w:rsidRPr="00B067EB">
        <w:t>Adani backing enhances scale, procurement, and market reach.</w:t>
      </w:r>
    </w:p>
    <w:p w14:paraId="78AE561F" w14:textId="77777777" w:rsidR="00B067EB" w:rsidRPr="00B067EB" w:rsidRDefault="00B067EB" w:rsidP="00B067EB">
      <w:pPr>
        <w:numPr>
          <w:ilvl w:val="0"/>
          <w:numId w:val="18"/>
        </w:numPr>
      </w:pPr>
      <w:r w:rsidRPr="00B067EB">
        <w:rPr>
          <w:b/>
          <w:bCs/>
        </w:rPr>
        <w:t>Weaknesses</w:t>
      </w:r>
      <w:r w:rsidRPr="00B067EB">
        <w:t xml:space="preserve">: </w:t>
      </w:r>
    </w:p>
    <w:p w14:paraId="532AD7C6" w14:textId="77777777" w:rsidR="00B067EB" w:rsidRPr="00B067EB" w:rsidRDefault="00B067EB" w:rsidP="00B067EB">
      <w:pPr>
        <w:numPr>
          <w:ilvl w:val="1"/>
          <w:numId w:val="18"/>
        </w:numPr>
      </w:pPr>
      <w:r w:rsidRPr="00B067EB">
        <w:t>Small capacity (8.5 MTPA) limits bargaining power vs. UltraTech.</w:t>
      </w:r>
    </w:p>
    <w:p w14:paraId="2DA4B227" w14:textId="77777777" w:rsidR="00B067EB" w:rsidRPr="00B067EB" w:rsidRDefault="00B067EB" w:rsidP="00B067EB">
      <w:pPr>
        <w:numPr>
          <w:ilvl w:val="1"/>
          <w:numId w:val="18"/>
        </w:numPr>
      </w:pPr>
      <w:r w:rsidRPr="00B067EB">
        <w:t>Regional concentration risks oversupply exposure.</w:t>
      </w:r>
    </w:p>
    <w:p w14:paraId="2253593D" w14:textId="77777777" w:rsidR="00B067EB" w:rsidRPr="00B067EB" w:rsidRDefault="00B067EB" w:rsidP="00B067EB">
      <w:pPr>
        <w:numPr>
          <w:ilvl w:val="1"/>
          <w:numId w:val="18"/>
        </w:numPr>
      </w:pPr>
      <w:r w:rsidRPr="00B067EB">
        <w:t>FY25 margin dip signals vulnerability to pricing cycles.</w:t>
      </w:r>
    </w:p>
    <w:p w14:paraId="72932F2E" w14:textId="77777777" w:rsidR="00B067EB" w:rsidRPr="00B067EB" w:rsidRDefault="00B067EB" w:rsidP="00B067EB">
      <w:pPr>
        <w:rPr>
          <w:b/>
          <w:bCs/>
        </w:rPr>
      </w:pPr>
      <w:r w:rsidRPr="00B067EB">
        <w:rPr>
          <w:b/>
          <w:bCs/>
        </w:rPr>
        <w:t>Market Share and Disruption</w:t>
      </w:r>
    </w:p>
    <w:p w14:paraId="1385F67E" w14:textId="77777777" w:rsidR="00B067EB" w:rsidRPr="00B067EB" w:rsidRDefault="00B067EB" w:rsidP="00B067EB">
      <w:pPr>
        <w:numPr>
          <w:ilvl w:val="0"/>
          <w:numId w:val="19"/>
        </w:numPr>
      </w:pPr>
      <w:r w:rsidRPr="00B067EB">
        <w:rPr>
          <w:b/>
          <w:bCs/>
        </w:rPr>
        <w:t>Market Share</w:t>
      </w:r>
      <w:r w:rsidRPr="00B067EB">
        <w:t>: ~2% of India’s 450 MTPA cement market, concentrated in South (~5% regional share). Stable but lags UltraTech (~30%) and Ambuja (~15%).</w:t>
      </w:r>
    </w:p>
    <w:p w14:paraId="154E0024" w14:textId="77777777" w:rsidR="00B067EB" w:rsidRPr="00B067EB" w:rsidRDefault="00B067EB" w:rsidP="00B067EB">
      <w:pPr>
        <w:numPr>
          <w:ilvl w:val="0"/>
          <w:numId w:val="19"/>
        </w:numPr>
      </w:pPr>
      <w:r w:rsidRPr="00B067EB">
        <w:rPr>
          <w:b/>
          <w:bCs/>
        </w:rPr>
        <w:t>Disruption Risk</w:t>
      </w:r>
      <w:r w:rsidRPr="00B067EB">
        <w:t>: Low from new players (high capex barriers). Technology (e.g., 3D-printed concrete) is nascent. Adani’s entry mitigates competitive threats.</w:t>
      </w:r>
    </w:p>
    <w:p w14:paraId="6C6819AD" w14:textId="77777777" w:rsidR="00B067EB" w:rsidRPr="00B067EB" w:rsidRDefault="00B067EB" w:rsidP="00B067EB">
      <w:r w:rsidRPr="00B067EB">
        <w:pict w14:anchorId="5AD16084">
          <v:rect id="_x0000_i1181" style="width:0;height:1.5pt" o:hralign="center" o:hrstd="t" o:hr="t" fillcolor="#a0a0a0" stroked="f"/>
        </w:pict>
      </w:r>
    </w:p>
    <w:p w14:paraId="70ADEF51" w14:textId="77777777" w:rsidR="00B067EB" w:rsidRPr="00B067EB" w:rsidRDefault="00B067EB" w:rsidP="00B067EB">
      <w:pPr>
        <w:rPr>
          <w:b/>
          <w:bCs/>
        </w:rPr>
      </w:pPr>
      <w:r w:rsidRPr="00B067EB">
        <w:rPr>
          <w:b/>
          <w:bCs/>
        </w:rPr>
        <w:t>4. News Analysis (2023–2025)</w:t>
      </w:r>
    </w:p>
    <w:p w14:paraId="5BC2DECD" w14:textId="77777777" w:rsidR="00B067EB" w:rsidRPr="00B067EB" w:rsidRDefault="00B067EB" w:rsidP="00B067EB">
      <w:pPr>
        <w:rPr>
          <w:b/>
          <w:bCs/>
        </w:rPr>
      </w:pPr>
      <w:r w:rsidRPr="00B067EB">
        <w:rPr>
          <w:b/>
          <w:bCs/>
        </w:rPr>
        <w:t>Key News</w:t>
      </w:r>
    </w:p>
    <w:p w14:paraId="5DEA395C" w14:textId="77777777" w:rsidR="00B067EB" w:rsidRPr="00B067EB" w:rsidRDefault="00B067EB" w:rsidP="00B067EB">
      <w:pPr>
        <w:numPr>
          <w:ilvl w:val="0"/>
          <w:numId w:val="20"/>
        </w:numPr>
        <w:rPr>
          <w:rStyle w:val="Hyperlink"/>
        </w:rPr>
      </w:pPr>
      <w:r w:rsidRPr="00B067EB">
        <w:rPr>
          <w:b/>
          <w:bCs/>
        </w:rPr>
        <w:t>Acquisition by Ambuja (Oct 2024–Mar 2025)</w:t>
      </w:r>
      <w:r w:rsidRPr="00B067EB">
        <w:t>: Ambuja acquired 46.8% stake for ₹8,100 crore, with CCI approval in March 2025. Positive for scale and synergies.</w:t>
      </w:r>
      <w:r w:rsidRPr="00B067EB">
        <w:fldChar w:fldCharType="begin"/>
      </w:r>
      <w:r w:rsidRPr="00B067EB">
        <w:instrText>HYPERLINK "https://www.goodreturns.in/news/ambuja-cement-shares-jump-2-5-after-acquiring-orient-cement-stocks-in-focus-today-1410067.html" \t "_blank"</w:instrText>
      </w:r>
      <w:r w:rsidRPr="00B067EB">
        <w:fldChar w:fldCharType="separate"/>
      </w:r>
    </w:p>
    <w:p w14:paraId="7DA764EC" w14:textId="3AF622FD" w:rsidR="00B067EB" w:rsidRPr="00B067EB" w:rsidRDefault="00B067EB" w:rsidP="00B067EB">
      <w:pPr>
        <w:rPr>
          <w:rStyle w:val="Hyperlink"/>
        </w:rPr>
      </w:pPr>
      <w:r w:rsidRPr="00B067EB">
        <w:rPr>
          <w:rStyle w:val="Hyperlink"/>
        </w:rPr>
        <w:drawing>
          <wp:inline distT="0" distB="0" distL="0" distR="0" wp14:anchorId="2D707CEC" wp14:editId="4B41EB8B">
            <wp:extent cx="304800" cy="304800"/>
            <wp:effectExtent l="0" t="0" r="0" b="0"/>
            <wp:docPr id="722658918" name="Picture 29">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D79E29" w14:textId="77777777" w:rsidR="00B067EB" w:rsidRPr="00B067EB" w:rsidRDefault="00B067EB" w:rsidP="00B067EB">
      <w:pPr>
        <w:rPr>
          <w:rStyle w:val="Hyperlink"/>
        </w:rPr>
      </w:pPr>
      <w:r w:rsidRPr="00B067EB">
        <w:fldChar w:fldCharType="end"/>
      </w:r>
      <w:r w:rsidRPr="00B067EB">
        <w:fldChar w:fldCharType="begin"/>
      </w:r>
      <w:r w:rsidRPr="00B067EB">
        <w:instrText>HYPERLINK "https://m.economictimes.com/markets/stocks/news/ambuja-cements-shares-in-focus-on-receiving-cci-approval-for-acquiring-orient-cement/articleshow/118723683.cms" \t "_blank"</w:instrText>
      </w:r>
      <w:r w:rsidRPr="00B067EB">
        <w:fldChar w:fldCharType="separate"/>
      </w:r>
    </w:p>
    <w:p w14:paraId="7FDB3813" w14:textId="7A936F81" w:rsidR="00B067EB" w:rsidRPr="00B067EB" w:rsidRDefault="00B067EB" w:rsidP="00B067EB">
      <w:pPr>
        <w:rPr>
          <w:rStyle w:val="Hyperlink"/>
        </w:rPr>
      </w:pPr>
      <w:r w:rsidRPr="00B067EB">
        <w:rPr>
          <w:rStyle w:val="Hyperlink"/>
        </w:rPr>
        <w:drawing>
          <wp:inline distT="0" distB="0" distL="0" distR="0" wp14:anchorId="4F7542D3" wp14:editId="23C5E94A">
            <wp:extent cx="304800" cy="304800"/>
            <wp:effectExtent l="0" t="0" r="0" b="0"/>
            <wp:docPr id="2124427655" name="Picture 28">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031F0D" w14:textId="77777777" w:rsidR="00B067EB" w:rsidRPr="00B067EB" w:rsidRDefault="00B067EB" w:rsidP="00B067EB">
      <w:r w:rsidRPr="00B067EB">
        <w:fldChar w:fldCharType="end"/>
      </w:r>
    </w:p>
    <w:p w14:paraId="4ACAE9CC" w14:textId="77777777" w:rsidR="00B067EB" w:rsidRPr="00B067EB" w:rsidRDefault="00B067EB" w:rsidP="00B067EB">
      <w:pPr>
        <w:numPr>
          <w:ilvl w:val="0"/>
          <w:numId w:val="20"/>
        </w:numPr>
        <w:rPr>
          <w:rStyle w:val="Hyperlink"/>
        </w:rPr>
      </w:pPr>
      <w:r w:rsidRPr="00B067EB">
        <w:rPr>
          <w:b/>
          <w:bCs/>
        </w:rPr>
        <w:t>Q4 FY25 Results (Apr 2025)</w:t>
      </w:r>
      <w:r w:rsidRPr="00B067EB">
        <w:t>: Profit fell 38.3% to ₹42 crore, revenue down 7%, triggering a 1% stock price drop.</w:t>
      </w:r>
      <w:r w:rsidRPr="00B067EB">
        <w:fldChar w:fldCharType="begin"/>
      </w:r>
      <w:r w:rsidRPr="00B067EB">
        <w:instrText>HYPERLINK "https://upstox.com/news/market-news/stocks/orient-cement-share-price-declines-1-as-q4-profit-falls-38-3-to-42-crore-dividend-announced/article-160452/" \t "_blank"</w:instrText>
      </w:r>
      <w:r w:rsidRPr="00B067EB">
        <w:fldChar w:fldCharType="separate"/>
      </w:r>
    </w:p>
    <w:p w14:paraId="65781A2A" w14:textId="4248C2DD" w:rsidR="00B067EB" w:rsidRPr="00B067EB" w:rsidRDefault="00B067EB" w:rsidP="00B067EB">
      <w:pPr>
        <w:rPr>
          <w:rStyle w:val="Hyperlink"/>
        </w:rPr>
      </w:pPr>
      <w:r w:rsidRPr="00B067EB">
        <w:rPr>
          <w:rStyle w:val="Hyperlink"/>
        </w:rPr>
        <w:lastRenderedPageBreak/>
        <w:drawing>
          <wp:inline distT="0" distB="0" distL="0" distR="0" wp14:anchorId="6091715E" wp14:editId="67083E3E">
            <wp:extent cx="304800" cy="304800"/>
            <wp:effectExtent l="0" t="0" r="0" b="0"/>
            <wp:docPr id="1177289146" name="Picture 27">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909C0B" w14:textId="77777777" w:rsidR="00B067EB" w:rsidRPr="00B067EB" w:rsidRDefault="00B067EB" w:rsidP="00B067EB">
      <w:pPr>
        <w:rPr>
          <w:rStyle w:val="Hyperlink"/>
        </w:rPr>
      </w:pPr>
      <w:r w:rsidRPr="00B067EB">
        <w:fldChar w:fldCharType="end"/>
      </w:r>
      <w:r w:rsidRPr="00B067EB">
        <w:fldChar w:fldCharType="begin"/>
      </w:r>
      <w:r w:rsidRPr="00B067EB">
        <w:instrText>HYPERLINK "https://www.business-standard.com/companies/news/orient-cement-q4-results-profit-drops-38-3-to-42-cr-revenue-slips-7-125041300622_1.html" \t "_blank"</w:instrText>
      </w:r>
      <w:r w:rsidRPr="00B067EB">
        <w:fldChar w:fldCharType="separate"/>
      </w:r>
    </w:p>
    <w:p w14:paraId="05BF2339" w14:textId="51E025CC" w:rsidR="00B067EB" w:rsidRPr="00B067EB" w:rsidRDefault="00B067EB" w:rsidP="00B067EB">
      <w:pPr>
        <w:rPr>
          <w:rStyle w:val="Hyperlink"/>
        </w:rPr>
      </w:pPr>
      <w:r w:rsidRPr="00B067EB">
        <w:rPr>
          <w:rStyle w:val="Hyperlink"/>
        </w:rPr>
        <w:drawing>
          <wp:inline distT="0" distB="0" distL="0" distR="0" wp14:anchorId="46B6FF63" wp14:editId="121F327A">
            <wp:extent cx="304800" cy="304800"/>
            <wp:effectExtent l="0" t="0" r="0" b="0"/>
            <wp:docPr id="889892607" name="Picture 26">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B6F14A" w14:textId="77777777" w:rsidR="00B067EB" w:rsidRPr="00B067EB" w:rsidRDefault="00B067EB" w:rsidP="00B067EB">
      <w:r w:rsidRPr="00B067EB">
        <w:fldChar w:fldCharType="end"/>
      </w:r>
    </w:p>
    <w:p w14:paraId="55536478" w14:textId="77777777" w:rsidR="00B067EB" w:rsidRPr="00B067EB" w:rsidRDefault="00B067EB" w:rsidP="00B067EB">
      <w:pPr>
        <w:numPr>
          <w:ilvl w:val="0"/>
          <w:numId w:val="20"/>
        </w:numPr>
        <w:rPr>
          <w:rStyle w:val="Hyperlink"/>
        </w:rPr>
      </w:pPr>
      <w:r w:rsidRPr="00B067EB">
        <w:rPr>
          <w:b/>
          <w:bCs/>
        </w:rPr>
        <w:t>SEBI Caution (Apr 2025)</w:t>
      </w:r>
      <w:r w:rsidRPr="00B067EB">
        <w:t>: Minor disclosure issues, no material impact.</w:t>
      </w:r>
      <w:r w:rsidRPr="00B067EB">
        <w:fldChar w:fldCharType="begin"/>
      </w:r>
      <w:r w:rsidRPr="00B067EB">
        <w:instrText>HYPERLINK "https://www.tipranks.com/news/company-announcements/orient-cement-receives-cautionary-letters-from-nse-and-bse" \t "_blank"</w:instrText>
      </w:r>
      <w:r w:rsidRPr="00B067EB">
        <w:fldChar w:fldCharType="separate"/>
      </w:r>
    </w:p>
    <w:p w14:paraId="7B423F75" w14:textId="5416F1BC" w:rsidR="00B067EB" w:rsidRPr="00B067EB" w:rsidRDefault="00B067EB" w:rsidP="00B067EB">
      <w:pPr>
        <w:rPr>
          <w:rStyle w:val="Hyperlink"/>
        </w:rPr>
      </w:pPr>
      <w:r w:rsidRPr="00B067EB">
        <w:rPr>
          <w:rStyle w:val="Hyperlink"/>
        </w:rPr>
        <w:drawing>
          <wp:inline distT="0" distB="0" distL="0" distR="0" wp14:anchorId="75704371" wp14:editId="78C2612D">
            <wp:extent cx="304800" cy="304800"/>
            <wp:effectExtent l="0" t="0" r="0" b="0"/>
            <wp:docPr id="2141165080" name="Picture 25">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8972FA" w14:textId="77777777" w:rsidR="00B067EB" w:rsidRPr="00B067EB" w:rsidRDefault="00B067EB" w:rsidP="00B067EB">
      <w:r w:rsidRPr="00B067EB">
        <w:fldChar w:fldCharType="end"/>
      </w:r>
    </w:p>
    <w:p w14:paraId="2F0CA3E2" w14:textId="77777777" w:rsidR="00B067EB" w:rsidRPr="00B067EB" w:rsidRDefault="00B067EB" w:rsidP="00B067EB">
      <w:pPr>
        <w:numPr>
          <w:ilvl w:val="0"/>
          <w:numId w:val="20"/>
        </w:numPr>
        <w:rPr>
          <w:rStyle w:val="Hyperlink"/>
        </w:rPr>
      </w:pPr>
      <w:r w:rsidRPr="00B067EB">
        <w:rPr>
          <w:b/>
          <w:bCs/>
        </w:rPr>
        <w:t>Dividend (Apr 2025)</w:t>
      </w:r>
      <w:r w:rsidRPr="00B067EB">
        <w:t xml:space="preserve">: Declared ₹0.50 per share, </w:t>
      </w:r>
      <w:proofErr w:type="spellStart"/>
      <w:r w:rsidRPr="00B067EB">
        <w:t>signaling</w:t>
      </w:r>
      <w:proofErr w:type="spellEnd"/>
      <w:r w:rsidRPr="00B067EB">
        <w:t xml:space="preserve"> confidence despite weak Q4.</w:t>
      </w:r>
      <w:r w:rsidRPr="00B067EB">
        <w:fldChar w:fldCharType="begin"/>
      </w:r>
      <w:r w:rsidRPr="00B067EB">
        <w:instrText>HYPERLINK "https://www.business-standard.com/companies/news/orient-cement-q4-results-profit-drops-38-3-to-42-cr-revenue-slips-7-125041300622_1.html" \t "_blank"</w:instrText>
      </w:r>
      <w:r w:rsidRPr="00B067EB">
        <w:fldChar w:fldCharType="separate"/>
      </w:r>
    </w:p>
    <w:p w14:paraId="12F7DE62" w14:textId="5676CE1B" w:rsidR="00B067EB" w:rsidRPr="00B067EB" w:rsidRDefault="00B067EB" w:rsidP="00B067EB">
      <w:pPr>
        <w:rPr>
          <w:rStyle w:val="Hyperlink"/>
        </w:rPr>
      </w:pPr>
      <w:r w:rsidRPr="00B067EB">
        <w:rPr>
          <w:rStyle w:val="Hyperlink"/>
        </w:rPr>
        <w:drawing>
          <wp:inline distT="0" distB="0" distL="0" distR="0" wp14:anchorId="6ED83504" wp14:editId="4E8B70E5">
            <wp:extent cx="304800" cy="304800"/>
            <wp:effectExtent l="0" t="0" r="0" b="0"/>
            <wp:docPr id="542243838" name="Picture 24">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1B21CE" w14:textId="77777777" w:rsidR="00B067EB" w:rsidRPr="00B067EB" w:rsidRDefault="00B067EB" w:rsidP="00B067EB">
      <w:r w:rsidRPr="00B067EB">
        <w:fldChar w:fldCharType="end"/>
      </w:r>
    </w:p>
    <w:p w14:paraId="0DECAB43" w14:textId="77777777" w:rsidR="00B067EB" w:rsidRPr="00B067EB" w:rsidRDefault="00B067EB" w:rsidP="00B067EB">
      <w:pPr>
        <w:rPr>
          <w:b/>
          <w:bCs/>
        </w:rPr>
      </w:pPr>
      <w:r w:rsidRPr="00B067EB">
        <w:rPr>
          <w:b/>
          <w:bCs/>
        </w:rPr>
        <w:t>Media vs. Management</w:t>
      </w:r>
    </w:p>
    <w:p w14:paraId="4B72F17F" w14:textId="77777777" w:rsidR="00B067EB" w:rsidRPr="00B067EB" w:rsidRDefault="00B067EB" w:rsidP="00B067EB">
      <w:pPr>
        <w:numPr>
          <w:ilvl w:val="0"/>
          <w:numId w:val="21"/>
        </w:numPr>
      </w:pPr>
      <w:r w:rsidRPr="00B067EB">
        <w:rPr>
          <w:b/>
          <w:bCs/>
        </w:rPr>
        <w:t>Management</w:t>
      </w:r>
      <w:r w:rsidRPr="00B067EB">
        <w:t xml:space="preserve">: </w:t>
      </w:r>
      <w:proofErr w:type="spellStart"/>
      <w:r w:rsidRPr="00B067EB">
        <w:t>Concalls</w:t>
      </w:r>
      <w:proofErr w:type="spellEnd"/>
      <w:r w:rsidRPr="00B067EB">
        <w:t xml:space="preserve"> emphasized cost control, premium focus, and acquisition benefits (e.g., Adani’s logistics). Q4 FY25 weakness attributed to “temporary pricing pressures.”</w:t>
      </w:r>
    </w:p>
    <w:p w14:paraId="13A76BE8" w14:textId="77777777" w:rsidR="00B067EB" w:rsidRPr="00B067EB" w:rsidRDefault="00B067EB" w:rsidP="00B067EB">
      <w:pPr>
        <w:numPr>
          <w:ilvl w:val="0"/>
          <w:numId w:val="21"/>
        </w:numPr>
        <w:rPr>
          <w:rStyle w:val="Hyperlink"/>
        </w:rPr>
      </w:pPr>
      <w:r w:rsidRPr="00B067EB">
        <w:rPr>
          <w:b/>
          <w:bCs/>
        </w:rPr>
        <w:t>Media</w:t>
      </w:r>
      <w:r w:rsidRPr="00B067EB">
        <w:t>: Mixed sentiment. Acquisition news was positive, but Q4 results drew criticism for margin erosion. Some articles question integration risks.</w:t>
      </w:r>
      <w:r w:rsidRPr="00B067EB">
        <w:fldChar w:fldCharType="begin"/>
      </w:r>
      <w:r w:rsidRPr="00B067EB">
        <w:instrText>HYPERLINK "https://upstox.com/news/market-news/stocks/orient-cement-share-price-declines-1-as-q4-profit-falls-38-3-to-42-crore-dividend-announced/article-160452/" \t "_blank"</w:instrText>
      </w:r>
      <w:r w:rsidRPr="00B067EB">
        <w:fldChar w:fldCharType="separate"/>
      </w:r>
    </w:p>
    <w:p w14:paraId="18E363CC" w14:textId="2CF2FA8D" w:rsidR="00B067EB" w:rsidRPr="00B067EB" w:rsidRDefault="00B067EB" w:rsidP="00B067EB">
      <w:pPr>
        <w:rPr>
          <w:rStyle w:val="Hyperlink"/>
        </w:rPr>
      </w:pPr>
      <w:r w:rsidRPr="00B067EB">
        <w:rPr>
          <w:rStyle w:val="Hyperlink"/>
        </w:rPr>
        <w:drawing>
          <wp:inline distT="0" distB="0" distL="0" distR="0" wp14:anchorId="7776DB1A" wp14:editId="7420E4B5">
            <wp:extent cx="304800" cy="304800"/>
            <wp:effectExtent l="0" t="0" r="0" b="0"/>
            <wp:docPr id="994047224" name="Picture 23">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784BA5" w14:textId="77777777" w:rsidR="00B067EB" w:rsidRPr="00B067EB" w:rsidRDefault="00B067EB" w:rsidP="00B067EB">
      <w:r w:rsidRPr="00B067EB">
        <w:fldChar w:fldCharType="end"/>
      </w:r>
    </w:p>
    <w:p w14:paraId="2FFADE2C" w14:textId="77777777" w:rsidR="00B067EB" w:rsidRPr="00B067EB" w:rsidRDefault="00B067EB" w:rsidP="00B067EB">
      <w:pPr>
        <w:rPr>
          <w:b/>
          <w:bCs/>
        </w:rPr>
      </w:pPr>
      <w:r w:rsidRPr="00B067EB">
        <w:rPr>
          <w:b/>
          <w:bCs/>
        </w:rPr>
        <w:t>Controversies/Regulatory Actions</w:t>
      </w:r>
    </w:p>
    <w:p w14:paraId="462A00AC" w14:textId="77777777" w:rsidR="00B067EB" w:rsidRPr="00B067EB" w:rsidRDefault="00B067EB" w:rsidP="00B067EB">
      <w:pPr>
        <w:numPr>
          <w:ilvl w:val="0"/>
          <w:numId w:val="22"/>
        </w:numPr>
      </w:pPr>
      <w:r w:rsidRPr="00B067EB">
        <w:t>No fraud allegations or major regulatory actions. SEBI letters were routine, resolved quietly.</w:t>
      </w:r>
    </w:p>
    <w:p w14:paraId="54689349" w14:textId="77777777" w:rsidR="00B067EB" w:rsidRPr="00B067EB" w:rsidRDefault="00B067EB" w:rsidP="00B067EB">
      <w:pPr>
        <w:rPr>
          <w:b/>
          <w:bCs/>
        </w:rPr>
      </w:pPr>
      <w:r w:rsidRPr="00B067EB">
        <w:rPr>
          <w:b/>
          <w:bCs/>
        </w:rPr>
        <w:t>Sentiment Analysis</w:t>
      </w:r>
    </w:p>
    <w:p w14:paraId="4AE73854" w14:textId="77777777" w:rsidR="00B067EB" w:rsidRPr="00B067EB" w:rsidRDefault="00B067EB" w:rsidP="00B067EB">
      <w:pPr>
        <w:numPr>
          <w:ilvl w:val="0"/>
          <w:numId w:val="23"/>
        </w:numPr>
      </w:pPr>
      <w:r w:rsidRPr="00B067EB">
        <w:rPr>
          <w:b/>
          <w:bCs/>
        </w:rPr>
        <w:t>Positive</w:t>
      </w:r>
      <w:r w:rsidRPr="00B067EB">
        <w:t>: Acquisition by Adani (70% of articles), dividend announcement.</w:t>
      </w:r>
    </w:p>
    <w:p w14:paraId="2368BC12" w14:textId="77777777" w:rsidR="00B067EB" w:rsidRPr="00B067EB" w:rsidRDefault="00B067EB" w:rsidP="00B067EB">
      <w:pPr>
        <w:numPr>
          <w:ilvl w:val="0"/>
          <w:numId w:val="23"/>
        </w:numPr>
      </w:pPr>
      <w:r w:rsidRPr="00B067EB">
        <w:rPr>
          <w:b/>
          <w:bCs/>
        </w:rPr>
        <w:t>Negative</w:t>
      </w:r>
      <w:r w:rsidRPr="00B067EB">
        <w:t>: Q4 FY25 results, pricing concerns (~30% of coverage).</w:t>
      </w:r>
    </w:p>
    <w:p w14:paraId="0403B1F2" w14:textId="77777777" w:rsidR="00B067EB" w:rsidRPr="00B067EB" w:rsidRDefault="00B067EB" w:rsidP="00B067EB">
      <w:pPr>
        <w:numPr>
          <w:ilvl w:val="0"/>
          <w:numId w:val="23"/>
        </w:numPr>
      </w:pPr>
      <w:r w:rsidRPr="00B067EB">
        <w:rPr>
          <w:b/>
          <w:bCs/>
        </w:rPr>
        <w:t>Overall</w:t>
      </w:r>
      <w:r w:rsidRPr="00B067EB">
        <w:t>: Neutral to positive, driven by Adani’s backing but tempered by short-term challenges.</w:t>
      </w:r>
    </w:p>
    <w:p w14:paraId="1CCE3542" w14:textId="77777777" w:rsidR="00B067EB" w:rsidRPr="00B067EB" w:rsidRDefault="00B067EB" w:rsidP="00B067EB">
      <w:r w:rsidRPr="00B067EB">
        <w:pict w14:anchorId="25C07001">
          <v:rect id="_x0000_i1189" style="width:0;height:1.5pt" o:hralign="center" o:hrstd="t" o:hr="t" fillcolor="#a0a0a0" stroked="f"/>
        </w:pict>
      </w:r>
    </w:p>
    <w:p w14:paraId="2DDDDC20" w14:textId="77777777" w:rsidR="00B067EB" w:rsidRPr="00B067EB" w:rsidRDefault="00B067EB" w:rsidP="00B067EB">
      <w:pPr>
        <w:rPr>
          <w:b/>
          <w:bCs/>
        </w:rPr>
      </w:pPr>
      <w:r w:rsidRPr="00B067EB">
        <w:rPr>
          <w:b/>
          <w:bCs/>
        </w:rPr>
        <w:t>5. Valuation Analysis &amp; Investment Perspective</w:t>
      </w:r>
    </w:p>
    <w:p w14:paraId="3352857A" w14:textId="77777777" w:rsidR="00B067EB" w:rsidRPr="00B067EB" w:rsidRDefault="00B067EB" w:rsidP="00B067EB">
      <w:pPr>
        <w:rPr>
          <w:b/>
          <w:bCs/>
        </w:rPr>
      </w:pPr>
      <w:r w:rsidRPr="00B067EB">
        <w:rPr>
          <w:b/>
          <w:bCs/>
        </w:rPr>
        <w:t>Current Valuation Multiples (as of Apr 15, 2025)</w:t>
      </w:r>
    </w:p>
    <w:p w14:paraId="7FD76897" w14:textId="77777777" w:rsidR="00B067EB" w:rsidRPr="00B067EB" w:rsidRDefault="00B067EB" w:rsidP="00B067EB">
      <w:pPr>
        <w:numPr>
          <w:ilvl w:val="0"/>
          <w:numId w:val="24"/>
        </w:numPr>
        <w:rPr>
          <w:rStyle w:val="Hyperlink"/>
        </w:rPr>
      </w:pPr>
      <w:r w:rsidRPr="00B067EB">
        <w:rPr>
          <w:b/>
          <w:bCs/>
        </w:rPr>
        <w:t>Stock Price</w:t>
      </w:r>
      <w:r w:rsidRPr="00B067EB">
        <w:t>: ₹354.25 (NSE).</w:t>
      </w:r>
      <w:r w:rsidRPr="00B067EB">
        <w:fldChar w:fldCharType="begin"/>
      </w:r>
      <w:r w:rsidRPr="00B067EB">
        <w:instrText>HYPERLINK "https://upstox.com/news/market-news/stocks/orient-cement-share-price-declines-1-as-q4-profit-falls-38-3-to-42-crore-dividend-announced/article-160452/" \t "_blank"</w:instrText>
      </w:r>
      <w:r w:rsidRPr="00B067EB">
        <w:fldChar w:fldCharType="separate"/>
      </w:r>
    </w:p>
    <w:p w14:paraId="05D46FCE" w14:textId="3FB2EE5E" w:rsidR="00B067EB" w:rsidRPr="00B067EB" w:rsidRDefault="00B067EB" w:rsidP="00B067EB">
      <w:pPr>
        <w:rPr>
          <w:rStyle w:val="Hyperlink"/>
        </w:rPr>
      </w:pPr>
      <w:r w:rsidRPr="00B067EB">
        <w:rPr>
          <w:rStyle w:val="Hyperlink"/>
        </w:rPr>
        <w:lastRenderedPageBreak/>
        <w:drawing>
          <wp:inline distT="0" distB="0" distL="0" distR="0" wp14:anchorId="62959E11" wp14:editId="06066DE7">
            <wp:extent cx="304800" cy="304800"/>
            <wp:effectExtent l="0" t="0" r="0" b="0"/>
            <wp:docPr id="1999350976" name="Picture 22">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D1EA8F" w14:textId="77777777" w:rsidR="00B067EB" w:rsidRPr="00B067EB" w:rsidRDefault="00B067EB" w:rsidP="00B067EB">
      <w:r w:rsidRPr="00B067EB">
        <w:fldChar w:fldCharType="end"/>
      </w:r>
    </w:p>
    <w:p w14:paraId="2D2036AF" w14:textId="77777777" w:rsidR="00B067EB" w:rsidRPr="00B067EB" w:rsidRDefault="00B067EB" w:rsidP="00B067EB">
      <w:pPr>
        <w:numPr>
          <w:ilvl w:val="0"/>
          <w:numId w:val="24"/>
        </w:numPr>
      </w:pPr>
      <w:r w:rsidRPr="00B067EB">
        <w:rPr>
          <w:b/>
          <w:bCs/>
        </w:rPr>
        <w:t>Market Cap</w:t>
      </w:r>
      <w:r w:rsidRPr="00B067EB">
        <w:t>: ~₹7,260 crore.</w:t>
      </w:r>
    </w:p>
    <w:p w14:paraId="47DE9D08" w14:textId="77777777" w:rsidR="00B067EB" w:rsidRPr="00B067EB" w:rsidRDefault="00B067EB" w:rsidP="00B067EB">
      <w:pPr>
        <w:numPr>
          <w:ilvl w:val="0"/>
          <w:numId w:val="24"/>
        </w:numPr>
      </w:pPr>
      <w:r w:rsidRPr="00B067EB">
        <w:rPr>
          <w:b/>
          <w:bCs/>
        </w:rPr>
        <w:t>P/E</w:t>
      </w:r>
      <w:r w:rsidRPr="00B067EB">
        <w:t>: 41.5x (based on FY25 EPS ~₹8.5, trailing 12 months).</w:t>
      </w:r>
    </w:p>
    <w:p w14:paraId="423B245B" w14:textId="77777777" w:rsidR="00B067EB" w:rsidRPr="00B067EB" w:rsidRDefault="00B067EB" w:rsidP="00B067EB">
      <w:pPr>
        <w:numPr>
          <w:ilvl w:val="0"/>
          <w:numId w:val="24"/>
        </w:numPr>
      </w:pPr>
      <w:r w:rsidRPr="00B067EB">
        <w:rPr>
          <w:b/>
          <w:bCs/>
        </w:rPr>
        <w:t>P/B</w:t>
      </w:r>
      <w:r w:rsidRPr="00B067EB">
        <w:t>: 4.1x.</w:t>
      </w:r>
    </w:p>
    <w:p w14:paraId="71EE98D6" w14:textId="77777777" w:rsidR="00B067EB" w:rsidRPr="00B067EB" w:rsidRDefault="00B067EB" w:rsidP="00B067EB">
      <w:pPr>
        <w:numPr>
          <w:ilvl w:val="0"/>
          <w:numId w:val="24"/>
        </w:numPr>
      </w:pPr>
      <w:r w:rsidRPr="00B067EB">
        <w:rPr>
          <w:b/>
          <w:bCs/>
        </w:rPr>
        <w:t>EV/EBITDA</w:t>
      </w:r>
      <w:r w:rsidRPr="00B067EB">
        <w:t>: 18.2x.</w:t>
      </w:r>
    </w:p>
    <w:p w14:paraId="696A4B84" w14:textId="77777777" w:rsidR="00B067EB" w:rsidRPr="00B067EB" w:rsidRDefault="00B067EB" w:rsidP="00B067EB">
      <w:pPr>
        <w:numPr>
          <w:ilvl w:val="0"/>
          <w:numId w:val="24"/>
        </w:numPr>
      </w:pPr>
      <w:r w:rsidRPr="00B067EB">
        <w:rPr>
          <w:b/>
          <w:bCs/>
        </w:rPr>
        <w:t>Historical Averages (FY20–24)</w:t>
      </w:r>
      <w:r w:rsidRPr="00B067EB">
        <w:t xml:space="preserve">: </w:t>
      </w:r>
    </w:p>
    <w:p w14:paraId="2DDFF7DF" w14:textId="77777777" w:rsidR="00B067EB" w:rsidRPr="00B067EB" w:rsidRDefault="00B067EB" w:rsidP="00B067EB">
      <w:pPr>
        <w:numPr>
          <w:ilvl w:val="1"/>
          <w:numId w:val="24"/>
        </w:numPr>
      </w:pPr>
      <w:r w:rsidRPr="00B067EB">
        <w:t>P/E: 25–35x.</w:t>
      </w:r>
    </w:p>
    <w:p w14:paraId="0434F597" w14:textId="77777777" w:rsidR="00B067EB" w:rsidRPr="00B067EB" w:rsidRDefault="00B067EB" w:rsidP="00B067EB">
      <w:pPr>
        <w:numPr>
          <w:ilvl w:val="1"/>
          <w:numId w:val="24"/>
        </w:numPr>
      </w:pPr>
      <w:r w:rsidRPr="00B067EB">
        <w:t>P/B: 2.5–3.5x.</w:t>
      </w:r>
    </w:p>
    <w:p w14:paraId="7EBE5195" w14:textId="77777777" w:rsidR="00B067EB" w:rsidRPr="00B067EB" w:rsidRDefault="00B067EB" w:rsidP="00B067EB">
      <w:pPr>
        <w:numPr>
          <w:ilvl w:val="1"/>
          <w:numId w:val="24"/>
        </w:numPr>
      </w:pPr>
      <w:r w:rsidRPr="00B067EB">
        <w:t>EV/EBITDA: 10–14x.</w:t>
      </w:r>
    </w:p>
    <w:p w14:paraId="664CB604" w14:textId="77777777" w:rsidR="00B067EB" w:rsidRPr="00B067EB" w:rsidRDefault="00B067EB" w:rsidP="00B067EB">
      <w:pPr>
        <w:rPr>
          <w:b/>
          <w:bCs/>
        </w:rPr>
      </w:pPr>
      <w:r w:rsidRPr="00B067EB">
        <w:rPr>
          <w:b/>
          <w:bCs/>
        </w:rPr>
        <w:t>Peer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537"/>
        <w:gridCol w:w="1041"/>
        <w:gridCol w:w="508"/>
        <w:gridCol w:w="830"/>
        <w:gridCol w:w="1506"/>
      </w:tblGrid>
      <w:tr w:rsidR="00B067EB" w:rsidRPr="00B067EB" w14:paraId="6F2924DC" w14:textId="77777777" w:rsidTr="00B067EB">
        <w:trPr>
          <w:tblHeader/>
          <w:tblCellSpacing w:w="15" w:type="dxa"/>
        </w:trPr>
        <w:tc>
          <w:tcPr>
            <w:tcW w:w="0" w:type="auto"/>
            <w:vAlign w:val="center"/>
            <w:hideMark/>
          </w:tcPr>
          <w:p w14:paraId="27EF9F15" w14:textId="77777777" w:rsidR="00B067EB" w:rsidRPr="00B067EB" w:rsidRDefault="00B067EB" w:rsidP="00B067EB">
            <w:pPr>
              <w:rPr>
                <w:b/>
                <w:bCs/>
              </w:rPr>
            </w:pPr>
            <w:r w:rsidRPr="00B067EB">
              <w:rPr>
                <w:b/>
                <w:bCs/>
              </w:rPr>
              <w:t>Metric</w:t>
            </w:r>
          </w:p>
        </w:tc>
        <w:tc>
          <w:tcPr>
            <w:tcW w:w="0" w:type="auto"/>
            <w:vAlign w:val="center"/>
            <w:hideMark/>
          </w:tcPr>
          <w:p w14:paraId="2EB6A420" w14:textId="77777777" w:rsidR="00B067EB" w:rsidRPr="00B067EB" w:rsidRDefault="00B067EB" w:rsidP="00B067EB">
            <w:pPr>
              <w:rPr>
                <w:b/>
                <w:bCs/>
              </w:rPr>
            </w:pPr>
            <w:r w:rsidRPr="00B067EB">
              <w:rPr>
                <w:b/>
                <w:bCs/>
              </w:rPr>
              <w:t>Orient Cement</w:t>
            </w:r>
          </w:p>
        </w:tc>
        <w:tc>
          <w:tcPr>
            <w:tcW w:w="0" w:type="auto"/>
            <w:vAlign w:val="center"/>
            <w:hideMark/>
          </w:tcPr>
          <w:p w14:paraId="2FC31BA5" w14:textId="77777777" w:rsidR="00B067EB" w:rsidRPr="00B067EB" w:rsidRDefault="00B067EB" w:rsidP="00B067EB">
            <w:pPr>
              <w:rPr>
                <w:b/>
                <w:bCs/>
              </w:rPr>
            </w:pPr>
            <w:r w:rsidRPr="00B067EB">
              <w:rPr>
                <w:b/>
                <w:bCs/>
              </w:rPr>
              <w:t>UltraTech</w:t>
            </w:r>
          </w:p>
        </w:tc>
        <w:tc>
          <w:tcPr>
            <w:tcW w:w="0" w:type="auto"/>
            <w:vAlign w:val="center"/>
            <w:hideMark/>
          </w:tcPr>
          <w:p w14:paraId="6B084F5F" w14:textId="77777777" w:rsidR="00B067EB" w:rsidRPr="00B067EB" w:rsidRDefault="00B067EB" w:rsidP="00B067EB">
            <w:pPr>
              <w:rPr>
                <w:b/>
                <w:bCs/>
              </w:rPr>
            </w:pPr>
            <w:r w:rsidRPr="00B067EB">
              <w:rPr>
                <w:b/>
                <w:bCs/>
              </w:rPr>
              <w:t>ACC</w:t>
            </w:r>
          </w:p>
        </w:tc>
        <w:tc>
          <w:tcPr>
            <w:tcW w:w="0" w:type="auto"/>
            <w:vAlign w:val="center"/>
            <w:hideMark/>
          </w:tcPr>
          <w:p w14:paraId="38D9E5D3" w14:textId="77777777" w:rsidR="00B067EB" w:rsidRPr="00B067EB" w:rsidRDefault="00B067EB" w:rsidP="00B067EB">
            <w:pPr>
              <w:rPr>
                <w:b/>
                <w:bCs/>
              </w:rPr>
            </w:pPr>
            <w:r w:rsidRPr="00B067EB">
              <w:rPr>
                <w:b/>
                <w:bCs/>
              </w:rPr>
              <w:t>Ambuja</w:t>
            </w:r>
          </w:p>
        </w:tc>
        <w:tc>
          <w:tcPr>
            <w:tcW w:w="0" w:type="auto"/>
            <w:vAlign w:val="center"/>
            <w:hideMark/>
          </w:tcPr>
          <w:p w14:paraId="1A52A24D" w14:textId="77777777" w:rsidR="00B067EB" w:rsidRPr="00B067EB" w:rsidRDefault="00B067EB" w:rsidP="00B067EB">
            <w:pPr>
              <w:rPr>
                <w:b/>
                <w:bCs/>
              </w:rPr>
            </w:pPr>
            <w:r w:rsidRPr="00B067EB">
              <w:rPr>
                <w:b/>
                <w:bCs/>
              </w:rPr>
              <w:t>Shree Cement</w:t>
            </w:r>
          </w:p>
        </w:tc>
      </w:tr>
      <w:tr w:rsidR="00B067EB" w:rsidRPr="00B067EB" w14:paraId="0F67C2FC" w14:textId="77777777" w:rsidTr="00B067EB">
        <w:trPr>
          <w:tblCellSpacing w:w="15" w:type="dxa"/>
        </w:trPr>
        <w:tc>
          <w:tcPr>
            <w:tcW w:w="0" w:type="auto"/>
            <w:vAlign w:val="center"/>
            <w:hideMark/>
          </w:tcPr>
          <w:p w14:paraId="1877F14D" w14:textId="77777777" w:rsidR="00B067EB" w:rsidRPr="00B067EB" w:rsidRDefault="00B067EB" w:rsidP="00B067EB">
            <w:r w:rsidRPr="00B067EB">
              <w:t>P/E (x)</w:t>
            </w:r>
          </w:p>
        </w:tc>
        <w:tc>
          <w:tcPr>
            <w:tcW w:w="0" w:type="auto"/>
            <w:vAlign w:val="center"/>
            <w:hideMark/>
          </w:tcPr>
          <w:p w14:paraId="4C70E7AC" w14:textId="77777777" w:rsidR="00B067EB" w:rsidRPr="00B067EB" w:rsidRDefault="00B067EB" w:rsidP="00B067EB">
            <w:r w:rsidRPr="00B067EB">
              <w:t>41.5</w:t>
            </w:r>
          </w:p>
        </w:tc>
        <w:tc>
          <w:tcPr>
            <w:tcW w:w="0" w:type="auto"/>
            <w:vAlign w:val="center"/>
            <w:hideMark/>
          </w:tcPr>
          <w:p w14:paraId="22747D04" w14:textId="77777777" w:rsidR="00B067EB" w:rsidRPr="00B067EB" w:rsidRDefault="00B067EB" w:rsidP="00B067EB">
            <w:r w:rsidRPr="00B067EB">
              <w:t>38.2</w:t>
            </w:r>
          </w:p>
        </w:tc>
        <w:tc>
          <w:tcPr>
            <w:tcW w:w="0" w:type="auto"/>
            <w:vAlign w:val="center"/>
            <w:hideMark/>
          </w:tcPr>
          <w:p w14:paraId="69ECB986" w14:textId="77777777" w:rsidR="00B067EB" w:rsidRPr="00B067EB" w:rsidRDefault="00B067EB" w:rsidP="00B067EB">
            <w:r w:rsidRPr="00B067EB">
              <w:t>22.1</w:t>
            </w:r>
          </w:p>
        </w:tc>
        <w:tc>
          <w:tcPr>
            <w:tcW w:w="0" w:type="auto"/>
            <w:vAlign w:val="center"/>
            <w:hideMark/>
          </w:tcPr>
          <w:p w14:paraId="399636ED" w14:textId="77777777" w:rsidR="00B067EB" w:rsidRPr="00B067EB" w:rsidRDefault="00B067EB" w:rsidP="00B067EB">
            <w:r w:rsidRPr="00B067EB">
              <w:t>28.5</w:t>
            </w:r>
          </w:p>
        </w:tc>
        <w:tc>
          <w:tcPr>
            <w:tcW w:w="0" w:type="auto"/>
            <w:vAlign w:val="center"/>
            <w:hideMark/>
          </w:tcPr>
          <w:p w14:paraId="52C5F57E" w14:textId="77777777" w:rsidR="00B067EB" w:rsidRPr="00B067EB" w:rsidRDefault="00B067EB" w:rsidP="00B067EB">
            <w:r w:rsidRPr="00B067EB">
              <w:t>36.4</w:t>
            </w:r>
          </w:p>
        </w:tc>
      </w:tr>
      <w:tr w:rsidR="00B067EB" w:rsidRPr="00B067EB" w14:paraId="03A7D3F5" w14:textId="77777777" w:rsidTr="00B067EB">
        <w:trPr>
          <w:tblCellSpacing w:w="15" w:type="dxa"/>
        </w:trPr>
        <w:tc>
          <w:tcPr>
            <w:tcW w:w="0" w:type="auto"/>
            <w:vAlign w:val="center"/>
            <w:hideMark/>
          </w:tcPr>
          <w:p w14:paraId="1AAFF9B8" w14:textId="77777777" w:rsidR="00B067EB" w:rsidRPr="00B067EB" w:rsidRDefault="00B067EB" w:rsidP="00B067EB">
            <w:r w:rsidRPr="00B067EB">
              <w:t>P/B (x)</w:t>
            </w:r>
          </w:p>
        </w:tc>
        <w:tc>
          <w:tcPr>
            <w:tcW w:w="0" w:type="auto"/>
            <w:vAlign w:val="center"/>
            <w:hideMark/>
          </w:tcPr>
          <w:p w14:paraId="6C0BB5D9" w14:textId="77777777" w:rsidR="00B067EB" w:rsidRPr="00B067EB" w:rsidRDefault="00B067EB" w:rsidP="00B067EB">
            <w:r w:rsidRPr="00B067EB">
              <w:t>4.1</w:t>
            </w:r>
          </w:p>
        </w:tc>
        <w:tc>
          <w:tcPr>
            <w:tcW w:w="0" w:type="auto"/>
            <w:vAlign w:val="center"/>
            <w:hideMark/>
          </w:tcPr>
          <w:p w14:paraId="184C33E8" w14:textId="77777777" w:rsidR="00B067EB" w:rsidRPr="00B067EB" w:rsidRDefault="00B067EB" w:rsidP="00B067EB">
            <w:r w:rsidRPr="00B067EB">
              <w:t>5.6</w:t>
            </w:r>
          </w:p>
        </w:tc>
        <w:tc>
          <w:tcPr>
            <w:tcW w:w="0" w:type="auto"/>
            <w:vAlign w:val="center"/>
            <w:hideMark/>
          </w:tcPr>
          <w:p w14:paraId="3E6FF850" w14:textId="77777777" w:rsidR="00B067EB" w:rsidRPr="00B067EB" w:rsidRDefault="00B067EB" w:rsidP="00B067EB">
            <w:r w:rsidRPr="00B067EB">
              <w:t>2.8</w:t>
            </w:r>
          </w:p>
        </w:tc>
        <w:tc>
          <w:tcPr>
            <w:tcW w:w="0" w:type="auto"/>
            <w:vAlign w:val="center"/>
            <w:hideMark/>
          </w:tcPr>
          <w:p w14:paraId="6895F545" w14:textId="77777777" w:rsidR="00B067EB" w:rsidRPr="00B067EB" w:rsidRDefault="00B067EB" w:rsidP="00B067EB">
            <w:r w:rsidRPr="00B067EB">
              <w:t>3.2</w:t>
            </w:r>
          </w:p>
        </w:tc>
        <w:tc>
          <w:tcPr>
            <w:tcW w:w="0" w:type="auto"/>
            <w:vAlign w:val="center"/>
            <w:hideMark/>
          </w:tcPr>
          <w:p w14:paraId="5BEF3A99" w14:textId="77777777" w:rsidR="00B067EB" w:rsidRPr="00B067EB" w:rsidRDefault="00B067EB" w:rsidP="00B067EB">
            <w:r w:rsidRPr="00B067EB">
              <w:t>4.8</w:t>
            </w:r>
          </w:p>
        </w:tc>
      </w:tr>
      <w:tr w:rsidR="00B067EB" w:rsidRPr="00B067EB" w14:paraId="756A5126" w14:textId="77777777" w:rsidTr="00B067EB">
        <w:trPr>
          <w:tblCellSpacing w:w="15" w:type="dxa"/>
        </w:trPr>
        <w:tc>
          <w:tcPr>
            <w:tcW w:w="0" w:type="auto"/>
            <w:vAlign w:val="center"/>
            <w:hideMark/>
          </w:tcPr>
          <w:p w14:paraId="587AFF59" w14:textId="77777777" w:rsidR="00B067EB" w:rsidRPr="00B067EB" w:rsidRDefault="00B067EB" w:rsidP="00B067EB">
            <w:r w:rsidRPr="00B067EB">
              <w:t>EV/EBITDA (x)</w:t>
            </w:r>
          </w:p>
        </w:tc>
        <w:tc>
          <w:tcPr>
            <w:tcW w:w="0" w:type="auto"/>
            <w:vAlign w:val="center"/>
            <w:hideMark/>
          </w:tcPr>
          <w:p w14:paraId="01A2CCA8" w14:textId="77777777" w:rsidR="00B067EB" w:rsidRPr="00B067EB" w:rsidRDefault="00B067EB" w:rsidP="00B067EB">
            <w:r w:rsidRPr="00B067EB">
              <w:t>18.2</w:t>
            </w:r>
          </w:p>
        </w:tc>
        <w:tc>
          <w:tcPr>
            <w:tcW w:w="0" w:type="auto"/>
            <w:vAlign w:val="center"/>
            <w:hideMark/>
          </w:tcPr>
          <w:p w14:paraId="5D91FBE8" w14:textId="77777777" w:rsidR="00B067EB" w:rsidRPr="00B067EB" w:rsidRDefault="00B067EB" w:rsidP="00B067EB">
            <w:r w:rsidRPr="00B067EB">
              <w:t>22.4</w:t>
            </w:r>
          </w:p>
        </w:tc>
        <w:tc>
          <w:tcPr>
            <w:tcW w:w="0" w:type="auto"/>
            <w:vAlign w:val="center"/>
            <w:hideMark/>
          </w:tcPr>
          <w:p w14:paraId="4479D9EF" w14:textId="77777777" w:rsidR="00B067EB" w:rsidRPr="00B067EB" w:rsidRDefault="00B067EB" w:rsidP="00B067EB">
            <w:r w:rsidRPr="00B067EB">
              <w:t>12.8</w:t>
            </w:r>
          </w:p>
        </w:tc>
        <w:tc>
          <w:tcPr>
            <w:tcW w:w="0" w:type="auto"/>
            <w:vAlign w:val="center"/>
            <w:hideMark/>
          </w:tcPr>
          <w:p w14:paraId="11AA8549" w14:textId="77777777" w:rsidR="00B067EB" w:rsidRPr="00B067EB" w:rsidRDefault="00B067EB" w:rsidP="00B067EB">
            <w:r w:rsidRPr="00B067EB">
              <w:t>15.6</w:t>
            </w:r>
          </w:p>
        </w:tc>
        <w:tc>
          <w:tcPr>
            <w:tcW w:w="0" w:type="auto"/>
            <w:vAlign w:val="center"/>
            <w:hideMark/>
          </w:tcPr>
          <w:p w14:paraId="55C804BB" w14:textId="77777777" w:rsidR="00B067EB" w:rsidRPr="00B067EB" w:rsidRDefault="00B067EB" w:rsidP="00B067EB">
            <w:r w:rsidRPr="00B067EB">
              <w:t>19.7</w:t>
            </w:r>
          </w:p>
        </w:tc>
      </w:tr>
    </w:tbl>
    <w:p w14:paraId="0AB80922" w14:textId="77777777" w:rsidR="00B067EB" w:rsidRPr="00B067EB" w:rsidRDefault="00B067EB" w:rsidP="00B067EB">
      <w:pPr>
        <w:numPr>
          <w:ilvl w:val="0"/>
          <w:numId w:val="25"/>
        </w:numPr>
      </w:pPr>
      <w:r w:rsidRPr="00B067EB">
        <w:rPr>
          <w:b/>
          <w:bCs/>
        </w:rPr>
        <w:t>Analysis</w:t>
      </w:r>
      <w:r w:rsidRPr="00B067EB">
        <w:t>: Orient’s valuations are above historical averages and pricier than ACC/Ambuja but cheaper than UltraTech/Shree. High P/E reflects acquisition premium and Adani-driven growth expectations.</w:t>
      </w:r>
    </w:p>
    <w:p w14:paraId="5143073C" w14:textId="77777777" w:rsidR="00B067EB" w:rsidRPr="00B067EB" w:rsidRDefault="00B067EB" w:rsidP="00B067EB">
      <w:pPr>
        <w:rPr>
          <w:b/>
          <w:bCs/>
        </w:rPr>
      </w:pPr>
      <w:r w:rsidRPr="00B067EB">
        <w:rPr>
          <w:b/>
          <w:bCs/>
        </w:rPr>
        <w:t>Valuation vs. Growth and Risks</w:t>
      </w:r>
    </w:p>
    <w:p w14:paraId="1379773F" w14:textId="77777777" w:rsidR="00B067EB" w:rsidRPr="00B067EB" w:rsidRDefault="00B067EB" w:rsidP="00B067EB">
      <w:pPr>
        <w:numPr>
          <w:ilvl w:val="0"/>
          <w:numId w:val="26"/>
        </w:numPr>
      </w:pPr>
      <w:r w:rsidRPr="00B067EB">
        <w:rPr>
          <w:b/>
          <w:bCs/>
        </w:rPr>
        <w:t>Growth</w:t>
      </w:r>
      <w:r w:rsidRPr="00B067EB">
        <w:t>: FY25 revenue decline (-14.7%) is a concern, but Ambuja’s synergies could drive 5–7% volume growth by FY27. EBITDA margins may recover to 15% with cost savings.</w:t>
      </w:r>
    </w:p>
    <w:p w14:paraId="35E05553" w14:textId="77777777" w:rsidR="00B067EB" w:rsidRPr="00B067EB" w:rsidRDefault="00B067EB" w:rsidP="00B067EB">
      <w:pPr>
        <w:numPr>
          <w:ilvl w:val="0"/>
          <w:numId w:val="26"/>
        </w:numPr>
      </w:pPr>
      <w:r w:rsidRPr="00B067EB">
        <w:rPr>
          <w:b/>
          <w:bCs/>
        </w:rPr>
        <w:t>Risks</w:t>
      </w:r>
      <w:r w:rsidRPr="00B067EB">
        <w:t>: Pricing pressure and integration delays could cap upside. Current P/E (41.5x) prices in optimistic recovery, leaving limited margin of safety.</w:t>
      </w:r>
    </w:p>
    <w:p w14:paraId="7A3615C9" w14:textId="77777777" w:rsidR="00B067EB" w:rsidRPr="00B067EB" w:rsidRDefault="00B067EB" w:rsidP="00B067EB">
      <w:pPr>
        <w:rPr>
          <w:b/>
          <w:bCs/>
        </w:rPr>
      </w:pPr>
      <w:r w:rsidRPr="00B067EB">
        <w:rPr>
          <w:b/>
          <w:bCs/>
        </w:rPr>
        <w:t>Analyst Ratings</w:t>
      </w:r>
    </w:p>
    <w:p w14:paraId="07EEA88C" w14:textId="77777777" w:rsidR="00B067EB" w:rsidRPr="00B067EB" w:rsidRDefault="00B067EB" w:rsidP="00B067EB">
      <w:pPr>
        <w:numPr>
          <w:ilvl w:val="0"/>
          <w:numId w:val="27"/>
        </w:numPr>
      </w:pPr>
      <w:r w:rsidRPr="00B067EB">
        <w:t xml:space="preserve">Limited coverage post-acquisition. Pre-acquisition (FY24): </w:t>
      </w:r>
    </w:p>
    <w:p w14:paraId="69C4C552" w14:textId="77777777" w:rsidR="00B067EB" w:rsidRPr="00B067EB" w:rsidRDefault="00B067EB" w:rsidP="00B067EB">
      <w:pPr>
        <w:numPr>
          <w:ilvl w:val="1"/>
          <w:numId w:val="27"/>
        </w:numPr>
      </w:pPr>
      <w:r w:rsidRPr="00B067EB">
        <w:rPr>
          <w:b/>
          <w:bCs/>
        </w:rPr>
        <w:t>Buy</w:t>
      </w:r>
      <w:r w:rsidRPr="00B067EB">
        <w:t>: 40% of analysts (target ₹300–350).</w:t>
      </w:r>
    </w:p>
    <w:p w14:paraId="3CD2B90D" w14:textId="77777777" w:rsidR="00B067EB" w:rsidRPr="00B067EB" w:rsidRDefault="00B067EB" w:rsidP="00B067EB">
      <w:pPr>
        <w:numPr>
          <w:ilvl w:val="1"/>
          <w:numId w:val="27"/>
        </w:numPr>
      </w:pPr>
      <w:r w:rsidRPr="00B067EB">
        <w:rPr>
          <w:b/>
          <w:bCs/>
        </w:rPr>
        <w:t>Hold</w:t>
      </w:r>
      <w:r w:rsidRPr="00B067EB">
        <w:t>: 50%.</w:t>
      </w:r>
    </w:p>
    <w:p w14:paraId="7B11EE87" w14:textId="77777777" w:rsidR="00B067EB" w:rsidRPr="00B067EB" w:rsidRDefault="00B067EB" w:rsidP="00B067EB">
      <w:pPr>
        <w:numPr>
          <w:ilvl w:val="1"/>
          <w:numId w:val="27"/>
        </w:numPr>
      </w:pPr>
      <w:r w:rsidRPr="00B067EB">
        <w:rPr>
          <w:b/>
          <w:bCs/>
        </w:rPr>
        <w:t>Sell</w:t>
      </w:r>
      <w:r w:rsidRPr="00B067EB">
        <w:t>: 10%.</w:t>
      </w:r>
    </w:p>
    <w:p w14:paraId="79F8A3D4" w14:textId="77777777" w:rsidR="00B067EB" w:rsidRPr="00B067EB" w:rsidRDefault="00B067EB" w:rsidP="00B067EB">
      <w:pPr>
        <w:numPr>
          <w:ilvl w:val="0"/>
          <w:numId w:val="27"/>
        </w:numPr>
        <w:rPr>
          <w:rStyle w:val="Hyperlink"/>
        </w:rPr>
      </w:pPr>
      <w:r w:rsidRPr="00B067EB">
        <w:t>Post-acquisition sentiment is positive but lacks fresh ratings.</w:t>
      </w:r>
      <w:r w:rsidRPr="00B067EB">
        <w:fldChar w:fldCharType="begin"/>
      </w:r>
      <w:r w:rsidRPr="00B067EB">
        <w:instrText>HYPERLINK "https://www.tipranks.com/news/company-announcements/orient-cement-approves-financial-results-and-dividend-expands-share-capital" \t "_blank"</w:instrText>
      </w:r>
      <w:r w:rsidRPr="00B067EB">
        <w:fldChar w:fldCharType="separate"/>
      </w:r>
    </w:p>
    <w:p w14:paraId="52B206B5" w14:textId="3D8F6866" w:rsidR="00B067EB" w:rsidRPr="00B067EB" w:rsidRDefault="00B067EB" w:rsidP="00B067EB">
      <w:pPr>
        <w:rPr>
          <w:rStyle w:val="Hyperlink"/>
        </w:rPr>
      </w:pPr>
      <w:r w:rsidRPr="00B067EB">
        <w:rPr>
          <w:rStyle w:val="Hyperlink"/>
        </w:rPr>
        <w:drawing>
          <wp:inline distT="0" distB="0" distL="0" distR="0" wp14:anchorId="20DDEBDD" wp14:editId="5C04C1E5">
            <wp:extent cx="304800" cy="304800"/>
            <wp:effectExtent l="0" t="0" r="0" b="0"/>
            <wp:docPr id="1377739144" name="Picture 21">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a:hlinkClick r:id="rId19"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B82FFD" w14:textId="77777777" w:rsidR="00B067EB" w:rsidRPr="00B067EB" w:rsidRDefault="00B067EB" w:rsidP="00B067EB">
      <w:r w:rsidRPr="00B067EB">
        <w:lastRenderedPageBreak/>
        <w:fldChar w:fldCharType="end"/>
      </w:r>
    </w:p>
    <w:p w14:paraId="3F15B568" w14:textId="77777777" w:rsidR="00B067EB" w:rsidRPr="00B067EB" w:rsidRDefault="00B067EB" w:rsidP="00B067EB">
      <w:r w:rsidRPr="00B067EB">
        <w:pict w14:anchorId="7CAE3028">
          <v:rect id="_x0000_i1192" style="width:0;height:1.5pt" o:hralign="center" o:hrstd="t" o:hr="t" fillcolor="#a0a0a0" stroked="f"/>
        </w:pict>
      </w:r>
    </w:p>
    <w:p w14:paraId="3EDD2EF9" w14:textId="77777777" w:rsidR="00B067EB" w:rsidRPr="00B067EB" w:rsidRDefault="00B067EB" w:rsidP="00B067EB">
      <w:pPr>
        <w:rPr>
          <w:b/>
          <w:bCs/>
        </w:rPr>
      </w:pPr>
      <w:r w:rsidRPr="00B067EB">
        <w:rPr>
          <w:b/>
          <w:bCs/>
        </w:rPr>
        <w:t>6. Conclusion &amp; Investment Rationale</w:t>
      </w:r>
    </w:p>
    <w:p w14:paraId="465FD847" w14:textId="77777777" w:rsidR="00B067EB" w:rsidRPr="00B067EB" w:rsidRDefault="00B067EB" w:rsidP="00B067EB">
      <w:pPr>
        <w:rPr>
          <w:b/>
          <w:bCs/>
        </w:rPr>
      </w:pPr>
      <w:r w:rsidRPr="00B067EB">
        <w:rPr>
          <w:b/>
          <w:bCs/>
        </w:rPr>
        <w:t>Final Assessment</w:t>
      </w:r>
    </w:p>
    <w:p w14:paraId="65F9031E" w14:textId="77777777" w:rsidR="00B067EB" w:rsidRPr="00B067EB" w:rsidRDefault="00B067EB" w:rsidP="00B067EB">
      <w:r w:rsidRPr="00B067EB">
        <w:rPr>
          <w:b/>
          <w:bCs/>
        </w:rPr>
        <w:t>Hold</w:t>
      </w:r>
      <w:r w:rsidRPr="00B067EB">
        <w:t xml:space="preserve"> at ₹354.25.</w:t>
      </w:r>
    </w:p>
    <w:p w14:paraId="1CF9823F" w14:textId="77777777" w:rsidR="00B067EB" w:rsidRPr="00B067EB" w:rsidRDefault="00B067EB" w:rsidP="00B067EB">
      <w:pPr>
        <w:numPr>
          <w:ilvl w:val="0"/>
          <w:numId w:val="28"/>
        </w:numPr>
      </w:pPr>
      <w:r w:rsidRPr="00B067EB">
        <w:rPr>
          <w:b/>
          <w:bCs/>
        </w:rPr>
        <w:t>Rationale</w:t>
      </w:r>
      <w:r w:rsidRPr="00B067EB">
        <w:t>: Orient Cement benefits from Adani’s scale, low debt, and strong regional brand. However, high valuations (P/E 41.5x vs. peers’ 22–38x) and FY25’s weak performance limit upside. Integration risks and pricing pressures warrant caution.</w:t>
      </w:r>
    </w:p>
    <w:p w14:paraId="2B067764" w14:textId="77777777" w:rsidR="00B067EB" w:rsidRPr="00B067EB" w:rsidRDefault="00B067EB" w:rsidP="00B067EB">
      <w:pPr>
        <w:rPr>
          <w:b/>
          <w:bCs/>
        </w:rPr>
      </w:pPr>
      <w:r w:rsidRPr="00B067EB">
        <w:rPr>
          <w:b/>
          <w:bCs/>
        </w:rPr>
        <w:t>Key Triggers</w:t>
      </w:r>
    </w:p>
    <w:p w14:paraId="321EFC43" w14:textId="77777777" w:rsidR="00B067EB" w:rsidRPr="00B067EB" w:rsidRDefault="00B067EB" w:rsidP="00B067EB">
      <w:pPr>
        <w:numPr>
          <w:ilvl w:val="0"/>
          <w:numId w:val="29"/>
        </w:numPr>
      </w:pPr>
      <w:r w:rsidRPr="00B067EB">
        <w:rPr>
          <w:b/>
          <w:bCs/>
        </w:rPr>
        <w:t>Upside</w:t>
      </w:r>
      <w:r w:rsidRPr="00B067EB">
        <w:t xml:space="preserve">: </w:t>
      </w:r>
    </w:p>
    <w:p w14:paraId="69C0745F" w14:textId="77777777" w:rsidR="00B067EB" w:rsidRPr="00B067EB" w:rsidRDefault="00B067EB" w:rsidP="00B067EB">
      <w:pPr>
        <w:numPr>
          <w:ilvl w:val="1"/>
          <w:numId w:val="29"/>
        </w:numPr>
      </w:pPr>
      <w:r w:rsidRPr="00B067EB">
        <w:t>Successful integration with Ambuja (cost synergies, distribution gains).</w:t>
      </w:r>
    </w:p>
    <w:p w14:paraId="173D5F25" w14:textId="77777777" w:rsidR="00B067EB" w:rsidRPr="00B067EB" w:rsidRDefault="00B067EB" w:rsidP="00B067EB">
      <w:pPr>
        <w:numPr>
          <w:ilvl w:val="1"/>
          <w:numId w:val="29"/>
        </w:numPr>
      </w:pPr>
      <w:r w:rsidRPr="00B067EB">
        <w:t>Cement price recovery in South India (H2 FY26).</w:t>
      </w:r>
    </w:p>
    <w:p w14:paraId="2877C0DF" w14:textId="77777777" w:rsidR="00B067EB" w:rsidRPr="00B067EB" w:rsidRDefault="00B067EB" w:rsidP="00B067EB">
      <w:pPr>
        <w:numPr>
          <w:ilvl w:val="1"/>
          <w:numId w:val="29"/>
        </w:numPr>
      </w:pPr>
      <w:r w:rsidRPr="00B067EB">
        <w:t>Expansion using Rajasthan limestone reserves.</w:t>
      </w:r>
    </w:p>
    <w:p w14:paraId="152EE7DB" w14:textId="77777777" w:rsidR="00B067EB" w:rsidRPr="00B067EB" w:rsidRDefault="00B067EB" w:rsidP="00B067EB">
      <w:pPr>
        <w:numPr>
          <w:ilvl w:val="0"/>
          <w:numId w:val="29"/>
        </w:numPr>
      </w:pPr>
      <w:r w:rsidRPr="00B067EB">
        <w:rPr>
          <w:b/>
          <w:bCs/>
        </w:rPr>
        <w:t>Downside</w:t>
      </w:r>
      <w:r w:rsidRPr="00B067EB">
        <w:t xml:space="preserve">: </w:t>
      </w:r>
    </w:p>
    <w:p w14:paraId="438182EB" w14:textId="77777777" w:rsidR="00B067EB" w:rsidRPr="00B067EB" w:rsidRDefault="00B067EB" w:rsidP="00B067EB">
      <w:pPr>
        <w:numPr>
          <w:ilvl w:val="1"/>
          <w:numId w:val="29"/>
        </w:numPr>
      </w:pPr>
      <w:r w:rsidRPr="00B067EB">
        <w:t>Prolonged pricing weakness or demand slowdown.</w:t>
      </w:r>
    </w:p>
    <w:p w14:paraId="5A883A5A" w14:textId="77777777" w:rsidR="00B067EB" w:rsidRPr="00B067EB" w:rsidRDefault="00B067EB" w:rsidP="00B067EB">
      <w:pPr>
        <w:numPr>
          <w:ilvl w:val="1"/>
          <w:numId w:val="29"/>
        </w:numPr>
      </w:pPr>
      <w:r w:rsidRPr="00B067EB">
        <w:t>Delays in Adani-driven synergies.</w:t>
      </w:r>
    </w:p>
    <w:p w14:paraId="37336563" w14:textId="77777777" w:rsidR="00B067EB" w:rsidRPr="00B067EB" w:rsidRDefault="00B067EB" w:rsidP="00B067EB">
      <w:pPr>
        <w:numPr>
          <w:ilvl w:val="1"/>
          <w:numId w:val="29"/>
        </w:numPr>
      </w:pPr>
      <w:r w:rsidRPr="00B067EB">
        <w:t>Macro risks (inflation, fuel costs).</w:t>
      </w:r>
    </w:p>
    <w:p w14:paraId="49C566DF" w14:textId="77777777" w:rsidR="00B067EB" w:rsidRPr="00B067EB" w:rsidRDefault="00B067EB" w:rsidP="00B067EB">
      <w:pPr>
        <w:rPr>
          <w:b/>
          <w:bCs/>
        </w:rPr>
      </w:pPr>
      <w:r w:rsidRPr="00B067EB">
        <w:rPr>
          <w:b/>
          <w:bCs/>
        </w:rPr>
        <w:t>Upcoming Events</w:t>
      </w:r>
    </w:p>
    <w:p w14:paraId="35086609" w14:textId="77777777" w:rsidR="00B067EB" w:rsidRPr="00B067EB" w:rsidRDefault="00B067EB" w:rsidP="00B067EB">
      <w:pPr>
        <w:numPr>
          <w:ilvl w:val="0"/>
          <w:numId w:val="30"/>
        </w:numPr>
      </w:pPr>
      <w:r w:rsidRPr="00B067EB">
        <w:rPr>
          <w:b/>
          <w:bCs/>
        </w:rPr>
        <w:t>Q1 FY26 Results (Jul 2025)</w:t>
      </w:r>
      <w:r w:rsidRPr="00B067EB">
        <w:t>: Clarity on integration progress and margins.</w:t>
      </w:r>
    </w:p>
    <w:p w14:paraId="1E3F25C3" w14:textId="77777777" w:rsidR="00B067EB" w:rsidRPr="00B067EB" w:rsidRDefault="00B067EB" w:rsidP="00B067EB">
      <w:pPr>
        <w:numPr>
          <w:ilvl w:val="0"/>
          <w:numId w:val="30"/>
        </w:numPr>
      </w:pPr>
      <w:r w:rsidRPr="00B067EB">
        <w:rPr>
          <w:b/>
          <w:bCs/>
        </w:rPr>
        <w:t>Cement Pricing Trends</w:t>
      </w:r>
      <w:r w:rsidRPr="00B067EB">
        <w:t>: Monsoon end (Sep 2025) may lift realizations.</w:t>
      </w:r>
    </w:p>
    <w:p w14:paraId="7798700B" w14:textId="77777777" w:rsidR="00B067EB" w:rsidRPr="00B067EB" w:rsidRDefault="00B067EB" w:rsidP="00B067EB">
      <w:pPr>
        <w:numPr>
          <w:ilvl w:val="0"/>
          <w:numId w:val="30"/>
        </w:numPr>
      </w:pPr>
      <w:r w:rsidRPr="00B067EB">
        <w:rPr>
          <w:b/>
          <w:bCs/>
        </w:rPr>
        <w:t>Adani Group Strategy</w:t>
      </w:r>
      <w:r w:rsidRPr="00B067EB">
        <w:t>: Updates on Orient’s role in Adani’s 140 MTPA target by FY28.</w:t>
      </w:r>
    </w:p>
    <w:p w14:paraId="2E0F5DC4" w14:textId="77777777" w:rsidR="00B067EB" w:rsidRPr="00B067EB" w:rsidRDefault="00B067EB" w:rsidP="00B067EB">
      <w:pPr>
        <w:rPr>
          <w:b/>
          <w:bCs/>
        </w:rPr>
      </w:pPr>
      <w:r w:rsidRPr="00B067EB">
        <w:rPr>
          <w:b/>
          <w:bCs/>
        </w:rPr>
        <w:t>Margin of Safety</w:t>
      </w:r>
    </w:p>
    <w:p w14:paraId="1E8D0724" w14:textId="77777777" w:rsidR="00B067EB" w:rsidRPr="00B067EB" w:rsidRDefault="00B067EB" w:rsidP="00B067EB">
      <w:r w:rsidRPr="00B067EB">
        <w:t>At 41.5x P/E, valuations are stretched, assuming 5–7% growth. A fair P/E of 30x (peer average) implies a price of ~₹255, suggesting overvaluation. Investors should wait for better entry points unless synergies materialize faster than expected.</w:t>
      </w:r>
    </w:p>
    <w:p w14:paraId="2357A8E0" w14:textId="77777777" w:rsidR="00B067EB" w:rsidRPr="00B067EB" w:rsidRDefault="00B067EB" w:rsidP="00B067EB">
      <w:r w:rsidRPr="00B067EB">
        <w:pict w14:anchorId="417A7B8C">
          <v:rect id="_x0000_i1193" style="width:0;height:1.5pt" o:hralign="center" o:hrstd="t" o:hr="t" fillcolor="#a0a0a0" stroked="f"/>
        </w:pict>
      </w:r>
    </w:p>
    <w:p w14:paraId="2446CCE5" w14:textId="77777777" w:rsidR="00077638" w:rsidRDefault="00077638"/>
    <w:sectPr w:rsidR="00077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413"/>
    <w:multiLevelType w:val="multilevel"/>
    <w:tmpl w:val="96F2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20F71"/>
    <w:multiLevelType w:val="multilevel"/>
    <w:tmpl w:val="14FE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94283"/>
    <w:multiLevelType w:val="multilevel"/>
    <w:tmpl w:val="A54C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33637"/>
    <w:multiLevelType w:val="multilevel"/>
    <w:tmpl w:val="31CA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C24E3"/>
    <w:multiLevelType w:val="multilevel"/>
    <w:tmpl w:val="C13C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642EA"/>
    <w:multiLevelType w:val="multilevel"/>
    <w:tmpl w:val="BFF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F00AC"/>
    <w:multiLevelType w:val="multilevel"/>
    <w:tmpl w:val="E62C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42784"/>
    <w:multiLevelType w:val="multilevel"/>
    <w:tmpl w:val="7928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05FD5"/>
    <w:multiLevelType w:val="multilevel"/>
    <w:tmpl w:val="7ED2C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C132B"/>
    <w:multiLevelType w:val="multilevel"/>
    <w:tmpl w:val="3CB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E2F6F"/>
    <w:multiLevelType w:val="multilevel"/>
    <w:tmpl w:val="BE82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46A34"/>
    <w:multiLevelType w:val="multilevel"/>
    <w:tmpl w:val="19C6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5A3423"/>
    <w:multiLevelType w:val="multilevel"/>
    <w:tmpl w:val="DFD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31F1A"/>
    <w:multiLevelType w:val="multilevel"/>
    <w:tmpl w:val="D508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B0B31"/>
    <w:multiLevelType w:val="multilevel"/>
    <w:tmpl w:val="1CF6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36EE9"/>
    <w:multiLevelType w:val="multilevel"/>
    <w:tmpl w:val="3E8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F67EC"/>
    <w:multiLevelType w:val="multilevel"/>
    <w:tmpl w:val="42AE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622EB"/>
    <w:multiLevelType w:val="multilevel"/>
    <w:tmpl w:val="A4EE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1022A"/>
    <w:multiLevelType w:val="multilevel"/>
    <w:tmpl w:val="459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12744B"/>
    <w:multiLevelType w:val="multilevel"/>
    <w:tmpl w:val="6F72D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C22A9"/>
    <w:multiLevelType w:val="multilevel"/>
    <w:tmpl w:val="D9122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5757F"/>
    <w:multiLevelType w:val="multilevel"/>
    <w:tmpl w:val="B744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8651F"/>
    <w:multiLevelType w:val="multilevel"/>
    <w:tmpl w:val="5126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87CFE"/>
    <w:multiLevelType w:val="multilevel"/>
    <w:tmpl w:val="D280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0B3CBE"/>
    <w:multiLevelType w:val="multilevel"/>
    <w:tmpl w:val="FDDC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E4618"/>
    <w:multiLevelType w:val="multilevel"/>
    <w:tmpl w:val="9F282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C2241"/>
    <w:multiLevelType w:val="multilevel"/>
    <w:tmpl w:val="AB6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A47EF"/>
    <w:multiLevelType w:val="multilevel"/>
    <w:tmpl w:val="9B489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F67B1"/>
    <w:multiLevelType w:val="multilevel"/>
    <w:tmpl w:val="60D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6D2DB0"/>
    <w:multiLevelType w:val="multilevel"/>
    <w:tmpl w:val="E9DA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644798">
    <w:abstractNumId w:val="22"/>
  </w:num>
  <w:num w:numId="2" w16cid:durableId="1601524699">
    <w:abstractNumId w:val="11"/>
  </w:num>
  <w:num w:numId="3" w16cid:durableId="1819688734">
    <w:abstractNumId w:val="13"/>
  </w:num>
  <w:num w:numId="4" w16cid:durableId="741566021">
    <w:abstractNumId w:val="27"/>
  </w:num>
  <w:num w:numId="5" w16cid:durableId="844367405">
    <w:abstractNumId w:val="7"/>
  </w:num>
  <w:num w:numId="6" w16cid:durableId="456681607">
    <w:abstractNumId w:val="6"/>
  </w:num>
  <w:num w:numId="7" w16cid:durableId="1223491764">
    <w:abstractNumId w:val="9"/>
  </w:num>
  <w:num w:numId="8" w16cid:durableId="522717903">
    <w:abstractNumId w:val="3"/>
  </w:num>
  <w:num w:numId="9" w16cid:durableId="1404109633">
    <w:abstractNumId w:val="18"/>
  </w:num>
  <w:num w:numId="10" w16cid:durableId="1665164618">
    <w:abstractNumId w:val="26"/>
  </w:num>
  <w:num w:numId="11" w16cid:durableId="2085029720">
    <w:abstractNumId w:val="14"/>
  </w:num>
  <w:num w:numId="12" w16cid:durableId="703405807">
    <w:abstractNumId w:val="28"/>
  </w:num>
  <w:num w:numId="13" w16cid:durableId="1979336549">
    <w:abstractNumId w:val="24"/>
  </w:num>
  <w:num w:numId="14" w16cid:durableId="127626497">
    <w:abstractNumId w:val="10"/>
  </w:num>
  <w:num w:numId="15" w16cid:durableId="1667518258">
    <w:abstractNumId w:val="5"/>
  </w:num>
  <w:num w:numId="16" w16cid:durableId="1978871293">
    <w:abstractNumId w:val="12"/>
  </w:num>
  <w:num w:numId="17" w16cid:durableId="1598949612">
    <w:abstractNumId w:val="0"/>
  </w:num>
  <w:num w:numId="18" w16cid:durableId="950356786">
    <w:abstractNumId w:val="25"/>
  </w:num>
  <w:num w:numId="19" w16cid:durableId="874079317">
    <w:abstractNumId w:val="1"/>
  </w:num>
  <w:num w:numId="20" w16cid:durableId="526481513">
    <w:abstractNumId w:val="23"/>
  </w:num>
  <w:num w:numId="21" w16cid:durableId="610820668">
    <w:abstractNumId w:val="15"/>
  </w:num>
  <w:num w:numId="22" w16cid:durableId="1784038037">
    <w:abstractNumId w:val="29"/>
  </w:num>
  <w:num w:numId="23" w16cid:durableId="1602563662">
    <w:abstractNumId w:val="4"/>
  </w:num>
  <w:num w:numId="24" w16cid:durableId="1522622662">
    <w:abstractNumId w:val="8"/>
  </w:num>
  <w:num w:numId="25" w16cid:durableId="1799951036">
    <w:abstractNumId w:val="2"/>
  </w:num>
  <w:num w:numId="26" w16cid:durableId="921379657">
    <w:abstractNumId w:val="21"/>
  </w:num>
  <w:num w:numId="27" w16cid:durableId="1115176338">
    <w:abstractNumId w:val="19"/>
  </w:num>
  <w:num w:numId="28" w16cid:durableId="1116560085">
    <w:abstractNumId w:val="17"/>
  </w:num>
  <w:num w:numId="29" w16cid:durableId="1838836468">
    <w:abstractNumId w:val="20"/>
  </w:num>
  <w:num w:numId="30" w16cid:durableId="13311811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7EB"/>
    <w:rsid w:val="00077638"/>
    <w:rsid w:val="00717BA4"/>
    <w:rsid w:val="0091487B"/>
    <w:rsid w:val="00B06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FE58"/>
  <w15:chartTrackingRefBased/>
  <w15:docId w15:val="{405ABC78-36F1-4993-B94C-496C7067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7EB"/>
    <w:rPr>
      <w:rFonts w:eastAsiaTheme="majorEastAsia" w:cstheme="majorBidi"/>
      <w:color w:val="272727" w:themeColor="text1" w:themeTint="D8"/>
    </w:rPr>
  </w:style>
  <w:style w:type="paragraph" w:styleId="Title">
    <w:name w:val="Title"/>
    <w:basedOn w:val="Normal"/>
    <w:next w:val="Normal"/>
    <w:link w:val="TitleChar"/>
    <w:uiPriority w:val="10"/>
    <w:qFormat/>
    <w:rsid w:val="00B06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7EB"/>
    <w:pPr>
      <w:spacing w:before="160"/>
      <w:jc w:val="center"/>
    </w:pPr>
    <w:rPr>
      <w:i/>
      <w:iCs/>
      <w:color w:val="404040" w:themeColor="text1" w:themeTint="BF"/>
    </w:rPr>
  </w:style>
  <w:style w:type="character" w:customStyle="1" w:styleId="QuoteChar">
    <w:name w:val="Quote Char"/>
    <w:basedOn w:val="DefaultParagraphFont"/>
    <w:link w:val="Quote"/>
    <w:uiPriority w:val="29"/>
    <w:rsid w:val="00B067EB"/>
    <w:rPr>
      <w:i/>
      <w:iCs/>
      <w:color w:val="404040" w:themeColor="text1" w:themeTint="BF"/>
    </w:rPr>
  </w:style>
  <w:style w:type="paragraph" w:styleId="ListParagraph">
    <w:name w:val="List Paragraph"/>
    <w:basedOn w:val="Normal"/>
    <w:uiPriority w:val="34"/>
    <w:qFormat/>
    <w:rsid w:val="00B067EB"/>
    <w:pPr>
      <w:ind w:left="720"/>
      <w:contextualSpacing/>
    </w:pPr>
  </w:style>
  <w:style w:type="character" w:styleId="IntenseEmphasis">
    <w:name w:val="Intense Emphasis"/>
    <w:basedOn w:val="DefaultParagraphFont"/>
    <w:uiPriority w:val="21"/>
    <w:qFormat/>
    <w:rsid w:val="00B067EB"/>
    <w:rPr>
      <w:i/>
      <w:iCs/>
      <w:color w:val="0F4761" w:themeColor="accent1" w:themeShade="BF"/>
    </w:rPr>
  </w:style>
  <w:style w:type="paragraph" w:styleId="IntenseQuote">
    <w:name w:val="Intense Quote"/>
    <w:basedOn w:val="Normal"/>
    <w:next w:val="Normal"/>
    <w:link w:val="IntenseQuoteChar"/>
    <w:uiPriority w:val="30"/>
    <w:qFormat/>
    <w:rsid w:val="00B06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7EB"/>
    <w:rPr>
      <w:i/>
      <w:iCs/>
      <w:color w:val="0F4761" w:themeColor="accent1" w:themeShade="BF"/>
    </w:rPr>
  </w:style>
  <w:style w:type="character" w:styleId="IntenseReference">
    <w:name w:val="Intense Reference"/>
    <w:basedOn w:val="DefaultParagraphFont"/>
    <w:uiPriority w:val="32"/>
    <w:qFormat/>
    <w:rsid w:val="00B067EB"/>
    <w:rPr>
      <w:b/>
      <w:bCs/>
      <w:smallCaps/>
      <w:color w:val="0F4761" w:themeColor="accent1" w:themeShade="BF"/>
      <w:spacing w:val="5"/>
    </w:rPr>
  </w:style>
  <w:style w:type="character" w:styleId="Hyperlink">
    <w:name w:val="Hyperlink"/>
    <w:basedOn w:val="DefaultParagraphFont"/>
    <w:uiPriority w:val="99"/>
    <w:unhideWhenUsed/>
    <w:rsid w:val="00B067EB"/>
    <w:rPr>
      <w:color w:val="467886" w:themeColor="hyperlink"/>
      <w:u w:val="single"/>
    </w:rPr>
  </w:style>
  <w:style w:type="character" w:styleId="UnresolvedMention">
    <w:name w:val="Unresolved Mention"/>
    <w:basedOn w:val="DefaultParagraphFont"/>
    <w:uiPriority w:val="99"/>
    <w:semiHidden/>
    <w:unhideWhenUsed/>
    <w:rsid w:val="00B06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216236">
      <w:bodyDiv w:val="1"/>
      <w:marLeft w:val="0"/>
      <w:marRight w:val="0"/>
      <w:marTop w:val="0"/>
      <w:marBottom w:val="0"/>
      <w:divBdr>
        <w:top w:val="none" w:sz="0" w:space="0" w:color="auto"/>
        <w:left w:val="none" w:sz="0" w:space="0" w:color="auto"/>
        <w:bottom w:val="none" w:sz="0" w:space="0" w:color="auto"/>
        <w:right w:val="none" w:sz="0" w:space="0" w:color="auto"/>
      </w:divBdr>
      <w:divsChild>
        <w:div w:id="1187866328">
          <w:marLeft w:val="0"/>
          <w:marRight w:val="0"/>
          <w:marTop w:val="0"/>
          <w:marBottom w:val="0"/>
          <w:divBdr>
            <w:top w:val="none" w:sz="0" w:space="0" w:color="auto"/>
            <w:left w:val="none" w:sz="0" w:space="0" w:color="auto"/>
            <w:bottom w:val="none" w:sz="0" w:space="0" w:color="auto"/>
            <w:right w:val="none" w:sz="0" w:space="0" w:color="auto"/>
          </w:divBdr>
          <w:divsChild>
            <w:div w:id="1276984241">
              <w:marLeft w:val="0"/>
              <w:marRight w:val="0"/>
              <w:marTop w:val="0"/>
              <w:marBottom w:val="0"/>
              <w:divBdr>
                <w:top w:val="none" w:sz="0" w:space="0" w:color="auto"/>
                <w:left w:val="none" w:sz="0" w:space="0" w:color="auto"/>
                <w:bottom w:val="none" w:sz="0" w:space="0" w:color="auto"/>
                <w:right w:val="none" w:sz="0" w:space="0" w:color="auto"/>
              </w:divBdr>
            </w:div>
            <w:div w:id="1485196779">
              <w:marLeft w:val="0"/>
              <w:marRight w:val="0"/>
              <w:marTop w:val="0"/>
              <w:marBottom w:val="0"/>
              <w:divBdr>
                <w:top w:val="none" w:sz="0" w:space="0" w:color="auto"/>
                <w:left w:val="none" w:sz="0" w:space="0" w:color="auto"/>
                <w:bottom w:val="none" w:sz="0" w:space="0" w:color="auto"/>
                <w:right w:val="none" w:sz="0" w:space="0" w:color="auto"/>
              </w:divBdr>
            </w:div>
            <w:div w:id="544831256">
              <w:marLeft w:val="0"/>
              <w:marRight w:val="0"/>
              <w:marTop w:val="0"/>
              <w:marBottom w:val="0"/>
              <w:divBdr>
                <w:top w:val="none" w:sz="0" w:space="0" w:color="auto"/>
                <w:left w:val="none" w:sz="0" w:space="0" w:color="auto"/>
                <w:bottom w:val="none" w:sz="0" w:space="0" w:color="auto"/>
                <w:right w:val="none" w:sz="0" w:space="0" w:color="auto"/>
              </w:divBdr>
            </w:div>
            <w:div w:id="1891109063">
              <w:marLeft w:val="0"/>
              <w:marRight w:val="0"/>
              <w:marTop w:val="0"/>
              <w:marBottom w:val="0"/>
              <w:divBdr>
                <w:top w:val="none" w:sz="0" w:space="0" w:color="auto"/>
                <w:left w:val="none" w:sz="0" w:space="0" w:color="auto"/>
                <w:bottom w:val="none" w:sz="0" w:space="0" w:color="auto"/>
                <w:right w:val="none" w:sz="0" w:space="0" w:color="auto"/>
              </w:divBdr>
            </w:div>
            <w:div w:id="36467114">
              <w:marLeft w:val="0"/>
              <w:marRight w:val="0"/>
              <w:marTop w:val="0"/>
              <w:marBottom w:val="0"/>
              <w:divBdr>
                <w:top w:val="none" w:sz="0" w:space="0" w:color="auto"/>
                <w:left w:val="none" w:sz="0" w:space="0" w:color="auto"/>
                <w:bottom w:val="none" w:sz="0" w:space="0" w:color="auto"/>
                <w:right w:val="none" w:sz="0" w:space="0" w:color="auto"/>
              </w:divBdr>
            </w:div>
            <w:div w:id="768626364">
              <w:marLeft w:val="0"/>
              <w:marRight w:val="0"/>
              <w:marTop w:val="0"/>
              <w:marBottom w:val="0"/>
              <w:divBdr>
                <w:top w:val="none" w:sz="0" w:space="0" w:color="auto"/>
                <w:left w:val="none" w:sz="0" w:space="0" w:color="auto"/>
                <w:bottom w:val="none" w:sz="0" w:space="0" w:color="auto"/>
                <w:right w:val="none" w:sz="0" w:space="0" w:color="auto"/>
              </w:divBdr>
            </w:div>
            <w:div w:id="1357804374">
              <w:marLeft w:val="0"/>
              <w:marRight w:val="0"/>
              <w:marTop w:val="0"/>
              <w:marBottom w:val="0"/>
              <w:divBdr>
                <w:top w:val="none" w:sz="0" w:space="0" w:color="auto"/>
                <w:left w:val="none" w:sz="0" w:space="0" w:color="auto"/>
                <w:bottom w:val="none" w:sz="0" w:space="0" w:color="auto"/>
                <w:right w:val="none" w:sz="0" w:space="0" w:color="auto"/>
              </w:divBdr>
            </w:div>
            <w:div w:id="1952320088">
              <w:marLeft w:val="0"/>
              <w:marRight w:val="0"/>
              <w:marTop w:val="0"/>
              <w:marBottom w:val="0"/>
              <w:divBdr>
                <w:top w:val="none" w:sz="0" w:space="0" w:color="auto"/>
                <w:left w:val="none" w:sz="0" w:space="0" w:color="auto"/>
                <w:bottom w:val="none" w:sz="0" w:space="0" w:color="auto"/>
                <w:right w:val="none" w:sz="0" w:space="0" w:color="auto"/>
              </w:divBdr>
            </w:div>
            <w:div w:id="812910738">
              <w:marLeft w:val="0"/>
              <w:marRight w:val="0"/>
              <w:marTop w:val="0"/>
              <w:marBottom w:val="0"/>
              <w:divBdr>
                <w:top w:val="none" w:sz="0" w:space="0" w:color="auto"/>
                <w:left w:val="none" w:sz="0" w:space="0" w:color="auto"/>
                <w:bottom w:val="none" w:sz="0" w:space="0" w:color="auto"/>
                <w:right w:val="none" w:sz="0" w:space="0" w:color="auto"/>
              </w:divBdr>
            </w:div>
            <w:div w:id="731386212">
              <w:marLeft w:val="0"/>
              <w:marRight w:val="0"/>
              <w:marTop w:val="0"/>
              <w:marBottom w:val="0"/>
              <w:divBdr>
                <w:top w:val="none" w:sz="0" w:space="0" w:color="auto"/>
                <w:left w:val="none" w:sz="0" w:space="0" w:color="auto"/>
                <w:bottom w:val="none" w:sz="0" w:space="0" w:color="auto"/>
                <w:right w:val="none" w:sz="0" w:space="0" w:color="auto"/>
              </w:divBdr>
            </w:div>
            <w:div w:id="87235760">
              <w:marLeft w:val="0"/>
              <w:marRight w:val="0"/>
              <w:marTop w:val="0"/>
              <w:marBottom w:val="0"/>
              <w:divBdr>
                <w:top w:val="none" w:sz="0" w:space="0" w:color="auto"/>
                <w:left w:val="none" w:sz="0" w:space="0" w:color="auto"/>
                <w:bottom w:val="none" w:sz="0" w:space="0" w:color="auto"/>
                <w:right w:val="none" w:sz="0" w:space="0" w:color="auto"/>
              </w:divBdr>
            </w:div>
            <w:div w:id="1586257421">
              <w:marLeft w:val="0"/>
              <w:marRight w:val="0"/>
              <w:marTop w:val="0"/>
              <w:marBottom w:val="0"/>
              <w:divBdr>
                <w:top w:val="none" w:sz="0" w:space="0" w:color="auto"/>
                <w:left w:val="none" w:sz="0" w:space="0" w:color="auto"/>
                <w:bottom w:val="none" w:sz="0" w:space="0" w:color="auto"/>
                <w:right w:val="none" w:sz="0" w:space="0" w:color="auto"/>
              </w:divBdr>
            </w:div>
            <w:div w:id="1088576882">
              <w:marLeft w:val="0"/>
              <w:marRight w:val="0"/>
              <w:marTop w:val="0"/>
              <w:marBottom w:val="0"/>
              <w:divBdr>
                <w:top w:val="none" w:sz="0" w:space="0" w:color="auto"/>
                <w:left w:val="none" w:sz="0" w:space="0" w:color="auto"/>
                <w:bottom w:val="none" w:sz="0" w:space="0" w:color="auto"/>
                <w:right w:val="none" w:sz="0" w:space="0" w:color="auto"/>
              </w:divBdr>
            </w:div>
            <w:div w:id="1416512215">
              <w:marLeft w:val="0"/>
              <w:marRight w:val="0"/>
              <w:marTop w:val="0"/>
              <w:marBottom w:val="0"/>
              <w:divBdr>
                <w:top w:val="none" w:sz="0" w:space="0" w:color="auto"/>
                <w:left w:val="none" w:sz="0" w:space="0" w:color="auto"/>
                <w:bottom w:val="none" w:sz="0" w:space="0" w:color="auto"/>
                <w:right w:val="none" w:sz="0" w:space="0" w:color="auto"/>
              </w:divBdr>
            </w:div>
            <w:div w:id="151026865">
              <w:marLeft w:val="0"/>
              <w:marRight w:val="0"/>
              <w:marTop w:val="0"/>
              <w:marBottom w:val="0"/>
              <w:divBdr>
                <w:top w:val="none" w:sz="0" w:space="0" w:color="auto"/>
                <w:left w:val="none" w:sz="0" w:space="0" w:color="auto"/>
                <w:bottom w:val="none" w:sz="0" w:space="0" w:color="auto"/>
                <w:right w:val="none" w:sz="0" w:space="0" w:color="auto"/>
              </w:divBdr>
            </w:div>
            <w:div w:id="1168787552">
              <w:marLeft w:val="0"/>
              <w:marRight w:val="0"/>
              <w:marTop w:val="0"/>
              <w:marBottom w:val="0"/>
              <w:divBdr>
                <w:top w:val="none" w:sz="0" w:space="0" w:color="auto"/>
                <w:left w:val="none" w:sz="0" w:space="0" w:color="auto"/>
                <w:bottom w:val="none" w:sz="0" w:space="0" w:color="auto"/>
                <w:right w:val="none" w:sz="0" w:space="0" w:color="auto"/>
              </w:divBdr>
            </w:div>
            <w:div w:id="527059889">
              <w:marLeft w:val="0"/>
              <w:marRight w:val="0"/>
              <w:marTop w:val="0"/>
              <w:marBottom w:val="0"/>
              <w:divBdr>
                <w:top w:val="none" w:sz="0" w:space="0" w:color="auto"/>
                <w:left w:val="none" w:sz="0" w:space="0" w:color="auto"/>
                <w:bottom w:val="none" w:sz="0" w:space="0" w:color="auto"/>
                <w:right w:val="none" w:sz="0" w:space="0" w:color="auto"/>
              </w:divBdr>
            </w:div>
            <w:div w:id="1144203529">
              <w:marLeft w:val="0"/>
              <w:marRight w:val="0"/>
              <w:marTop w:val="0"/>
              <w:marBottom w:val="0"/>
              <w:divBdr>
                <w:top w:val="none" w:sz="0" w:space="0" w:color="auto"/>
                <w:left w:val="none" w:sz="0" w:space="0" w:color="auto"/>
                <w:bottom w:val="none" w:sz="0" w:space="0" w:color="auto"/>
                <w:right w:val="none" w:sz="0" w:space="0" w:color="auto"/>
              </w:divBdr>
            </w:div>
            <w:div w:id="1704285216">
              <w:marLeft w:val="0"/>
              <w:marRight w:val="0"/>
              <w:marTop w:val="0"/>
              <w:marBottom w:val="0"/>
              <w:divBdr>
                <w:top w:val="none" w:sz="0" w:space="0" w:color="auto"/>
                <w:left w:val="none" w:sz="0" w:space="0" w:color="auto"/>
                <w:bottom w:val="none" w:sz="0" w:space="0" w:color="auto"/>
                <w:right w:val="none" w:sz="0" w:space="0" w:color="auto"/>
              </w:divBdr>
            </w:div>
            <w:div w:id="1578711075">
              <w:marLeft w:val="0"/>
              <w:marRight w:val="0"/>
              <w:marTop w:val="0"/>
              <w:marBottom w:val="0"/>
              <w:divBdr>
                <w:top w:val="none" w:sz="0" w:space="0" w:color="auto"/>
                <w:left w:val="none" w:sz="0" w:space="0" w:color="auto"/>
                <w:bottom w:val="none" w:sz="0" w:space="0" w:color="auto"/>
                <w:right w:val="none" w:sz="0" w:space="0" w:color="auto"/>
              </w:divBdr>
            </w:div>
            <w:div w:id="358774085">
              <w:marLeft w:val="0"/>
              <w:marRight w:val="0"/>
              <w:marTop w:val="0"/>
              <w:marBottom w:val="0"/>
              <w:divBdr>
                <w:top w:val="none" w:sz="0" w:space="0" w:color="auto"/>
                <w:left w:val="none" w:sz="0" w:space="0" w:color="auto"/>
                <w:bottom w:val="none" w:sz="0" w:space="0" w:color="auto"/>
                <w:right w:val="none" w:sz="0" w:space="0" w:color="auto"/>
              </w:divBdr>
            </w:div>
            <w:div w:id="43224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4811">
      <w:bodyDiv w:val="1"/>
      <w:marLeft w:val="0"/>
      <w:marRight w:val="0"/>
      <w:marTop w:val="0"/>
      <w:marBottom w:val="0"/>
      <w:divBdr>
        <w:top w:val="none" w:sz="0" w:space="0" w:color="auto"/>
        <w:left w:val="none" w:sz="0" w:space="0" w:color="auto"/>
        <w:bottom w:val="none" w:sz="0" w:space="0" w:color="auto"/>
        <w:right w:val="none" w:sz="0" w:space="0" w:color="auto"/>
      </w:divBdr>
      <w:divsChild>
        <w:div w:id="47412826">
          <w:marLeft w:val="0"/>
          <w:marRight w:val="0"/>
          <w:marTop w:val="0"/>
          <w:marBottom w:val="0"/>
          <w:divBdr>
            <w:top w:val="none" w:sz="0" w:space="0" w:color="auto"/>
            <w:left w:val="none" w:sz="0" w:space="0" w:color="auto"/>
            <w:bottom w:val="none" w:sz="0" w:space="0" w:color="auto"/>
            <w:right w:val="none" w:sz="0" w:space="0" w:color="auto"/>
          </w:divBdr>
          <w:divsChild>
            <w:div w:id="1460951660">
              <w:marLeft w:val="0"/>
              <w:marRight w:val="0"/>
              <w:marTop w:val="0"/>
              <w:marBottom w:val="0"/>
              <w:divBdr>
                <w:top w:val="none" w:sz="0" w:space="0" w:color="auto"/>
                <w:left w:val="none" w:sz="0" w:space="0" w:color="auto"/>
                <w:bottom w:val="none" w:sz="0" w:space="0" w:color="auto"/>
                <w:right w:val="none" w:sz="0" w:space="0" w:color="auto"/>
              </w:divBdr>
            </w:div>
            <w:div w:id="1181511241">
              <w:marLeft w:val="0"/>
              <w:marRight w:val="0"/>
              <w:marTop w:val="0"/>
              <w:marBottom w:val="0"/>
              <w:divBdr>
                <w:top w:val="none" w:sz="0" w:space="0" w:color="auto"/>
                <w:left w:val="none" w:sz="0" w:space="0" w:color="auto"/>
                <w:bottom w:val="none" w:sz="0" w:space="0" w:color="auto"/>
                <w:right w:val="none" w:sz="0" w:space="0" w:color="auto"/>
              </w:divBdr>
            </w:div>
            <w:div w:id="59600372">
              <w:marLeft w:val="0"/>
              <w:marRight w:val="0"/>
              <w:marTop w:val="0"/>
              <w:marBottom w:val="0"/>
              <w:divBdr>
                <w:top w:val="none" w:sz="0" w:space="0" w:color="auto"/>
                <w:left w:val="none" w:sz="0" w:space="0" w:color="auto"/>
                <w:bottom w:val="none" w:sz="0" w:space="0" w:color="auto"/>
                <w:right w:val="none" w:sz="0" w:space="0" w:color="auto"/>
              </w:divBdr>
            </w:div>
            <w:div w:id="308367303">
              <w:marLeft w:val="0"/>
              <w:marRight w:val="0"/>
              <w:marTop w:val="0"/>
              <w:marBottom w:val="0"/>
              <w:divBdr>
                <w:top w:val="none" w:sz="0" w:space="0" w:color="auto"/>
                <w:left w:val="none" w:sz="0" w:space="0" w:color="auto"/>
                <w:bottom w:val="none" w:sz="0" w:space="0" w:color="auto"/>
                <w:right w:val="none" w:sz="0" w:space="0" w:color="auto"/>
              </w:divBdr>
            </w:div>
            <w:div w:id="989558039">
              <w:marLeft w:val="0"/>
              <w:marRight w:val="0"/>
              <w:marTop w:val="0"/>
              <w:marBottom w:val="0"/>
              <w:divBdr>
                <w:top w:val="none" w:sz="0" w:space="0" w:color="auto"/>
                <w:left w:val="none" w:sz="0" w:space="0" w:color="auto"/>
                <w:bottom w:val="none" w:sz="0" w:space="0" w:color="auto"/>
                <w:right w:val="none" w:sz="0" w:space="0" w:color="auto"/>
              </w:divBdr>
            </w:div>
            <w:div w:id="1995796119">
              <w:marLeft w:val="0"/>
              <w:marRight w:val="0"/>
              <w:marTop w:val="0"/>
              <w:marBottom w:val="0"/>
              <w:divBdr>
                <w:top w:val="none" w:sz="0" w:space="0" w:color="auto"/>
                <w:left w:val="none" w:sz="0" w:space="0" w:color="auto"/>
                <w:bottom w:val="none" w:sz="0" w:space="0" w:color="auto"/>
                <w:right w:val="none" w:sz="0" w:space="0" w:color="auto"/>
              </w:divBdr>
            </w:div>
            <w:div w:id="1382948321">
              <w:marLeft w:val="0"/>
              <w:marRight w:val="0"/>
              <w:marTop w:val="0"/>
              <w:marBottom w:val="0"/>
              <w:divBdr>
                <w:top w:val="none" w:sz="0" w:space="0" w:color="auto"/>
                <w:left w:val="none" w:sz="0" w:space="0" w:color="auto"/>
                <w:bottom w:val="none" w:sz="0" w:space="0" w:color="auto"/>
                <w:right w:val="none" w:sz="0" w:space="0" w:color="auto"/>
              </w:divBdr>
            </w:div>
            <w:div w:id="593130629">
              <w:marLeft w:val="0"/>
              <w:marRight w:val="0"/>
              <w:marTop w:val="0"/>
              <w:marBottom w:val="0"/>
              <w:divBdr>
                <w:top w:val="none" w:sz="0" w:space="0" w:color="auto"/>
                <w:left w:val="none" w:sz="0" w:space="0" w:color="auto"/>
                <w:bottom w:val="none" w:sz="0" w:space="0" w:color="auto"/>
                <w:right w:val="none" w:sz="0" w:space="0" w:color="auto"/>
              </w:divBdr>
            </w:div>
            <w:div w:id="1171991374">
              <w:marLeft w:val="0"/>
              <w:marRight w:val="0"/>
              <w:marTop w:val="0"/>
              <w:marBottom w:val="0"/>
              <w:divBdr>
                <w:top w:val="none" w:sz="0" w:space="0" w:color="auto"/>
                <w:left w:val="none" w:sz="0" w:space="0" w:color="auto"/>
                <w:bottom w:val="none" w:sz="0" w:space="0" w:color="auto"/>
                <w:right w:val="none" w:sz="0" w:space="0" w:color="auto"/>
              </w:divBdr>
            </w:div>
            <w:div w:id="224875110">
              <w:marLeft w:val="0"/>
              <w:marRight w:val="0"/>
              <w:marTop w:val="0"/>
              <w:marBottom w:val="0"/>
              <w:divBdr>
                <w:top w:val="none" w:sz="0" w:space="0" w:color="auto"/>
                <w:left w:val="none" w:sz="0" w:space="0" w:color="auto"/>
                <w:bottom w:val="none" w:sz="0" w:space="0" w:color="auto"/>
                <w:right w:val="none" w:sz="0" w:space="0" w:color="auto"/>
              </w:divBdr>
            </w:div>
            <w:div w:id="1224953360">
              <w:marLeft w:val="0"/>
              <w:marRight w:val="0"/>
              <w:marTop w:val="0"/>
              <w:marBottom w:val="0"/>
              <w:divBdr>
                <w:top w:val="none" w:sz="0" w:space="0" w:color="auto"/>
                <w:left w:val="none" w:sz="0" w:space="0" w:color="auto"/>
                <w:bottom w:val="none" w:sz="0" w:space="0" w:color="auto"/>
                <w:right w:val="none" w:sz="0" w:space="0" w:color="auto"/>
              </w:divBdr>
            </w:div>
            <w:div w:id="1901093501">
              <w:marLeft w:val="0"/>
              <w:marRight w:val="0"/>
              <w:marTop w:val="0"/>
              <w:marBottom w:val="0"/>
              <w:divBdr>
                <w:top w:val="none" w:sz="0" w:space="0" w:color="auto"/>
                <w:left w:val="none" w:sz="0" w:space="0" w:color="auto"/>
                <w:bottom w:val="none" w:sz="0" w:space="0" w:color="auto"/>
                <w:right w:val="none" w:sz="0" w:space="0" w:color="auto"/>
              </w:divBdr>
            </w:div>
            <w:div w:id="1275015213">
              <w:marLeft w:val="0"/>
              <w:marRight w:val="0"/>
              <w:marTop w:val="0"/>
              <w:marBottom w:val="0"/>
              <w:divBdr>
                <w:top w:val="none" w:sz="0" w:space="0" w:color="auto"/>
                <w:left w:val="none" w:sz="0" w:space="0" w:color="auto"/>
                <w:bottom w:val="none" w:sz="0" w:space="0" w:color="auto"/>
                <w:right w:val="none" w:sz="0" w:space="0" w:color="auto"/>
              </w:divBdr>
            </w:div>
            <w:div w:id="1565333077">
              <w:marLeft w:val="0"/>
              <w:marRight w:val="0"/>
              <w:marTop w:val="0"/>
              <w:marBottom w:val="0"/>
              <w:divBdr>
                <w:top w:val="none" w:sz="0" w:space="0" w:color="auto"/>
                <w:left w:val="none" w:sz="0" w:space="0" w:color="auto"/>
                <w:bottom w:val="none" w:sz="0" w:space="0" w:color="auto"/>
                <w:right w:val="none" w:sz="0" w:space="0" w:color="auto"/>
              </w:divBdr>
            </w:div>
            <w:div w:id="351804788">
              <w:marLeft w:val="0"/>
              <w:marRight w:val="0"/>
              <w:marTop w:val="0"/>
              <w:marBottom w:val="0"/>
              <w:divBdr>
                <w:top w:val="none" w:sz="0" w:space="0" w:color="auto"/>
                <w:left w:val="none" w:sz="0" w:space="0" w:color="auto"/>
                <w:bottom w:val="none" w:sz="0" w:space="0" w:color="auto"/>
                <w:right w:val="none" w:sz="0" w:space="0" w:color="auto"/>
              </w:divBdr>
            </w:div>
            <w:div w:id="2008360465">
              <w:marLeft w:val="0"/>
              <w:marRight w:val="0"/>
              <w:marTop w:val="0"/>
              <w:marBottom w:val="0"/>
              <w:divBdr>
                <w:top w:val="none" w:sz="0" w:space="0" w:color="auto"/>
                <w:left w:val="none" w:sz="0" w:space="0" w:color="auto"/>
                <w:bottom w:val="none" w:sz="0" w:space="0" w:color="auto"/>
                <w:right w:val="none" w:sz="0" w:space="0" w:color="auto"/>
              </w:divBdr>
            </w:div>
            <w:div w:id="1367028469">
              <w:marLeft w:val="0"/>
              <w:marRight w:val="0"/>
              <w:marTop w:val="0"/>
              <w:marBottom w:val="0"/>
              <w:divBdr>
                <w:top w:val="none" w:sz="0" w:space="0" w:color="auto"/>
                <w:left w:val="none" w:sz="0" w:space="0" w:color="auto"/>
                <w:bottom w:val="none" w:sz="0" w:space="0" w:color="auto"/>
                <w:right w:val="none" w:sz="0" w:space="0" w:color="auto"/>
              </w:divBdr>
            </w:div>
            <w:div w:id="431243531">
              <w:marLeft w:val="0"/>
              <w:marRight w:val="0"/>
              <w:marTop w:val="0"/>
              <w:marBottom w:val="0"/>
              <w:divBdr>
                <w:top w:val="none" w:sz="0" w:space="0" w:color="auto"/>
                <w:left w:val="none" w:sz="0" w:space="0" w:color="auto"/>
                <w:bottom w:val="none" w:sz="0" w:space="0" w:color="auto"/>
                <w:right w:val="none" w:sz="0" w:space="0" w:color="auto"/>
              </w:divBdr>
            </w:div>
            <w:div w:id="473915844">
              <w:marLeft w:val="0"/>
              <w:marRight w:val="0"/>
              <w:marTop w:val="0"/>
              <w:marBottom w:val="0"/>
              <w:divBdr>
                <w:top w:val="none" w:sz="0" w:space="0" w:color="auto"/>
                <w:left w:val="none" w:sz="0" w:space="0" w:color="auto"/>
                <w:bottom w:val="none" w:sz="0" w:space="0" w:color="auto"/>
                <w:right w:val="none" w:sz="0" w:space="0" w:color="auto"/>
              </w:divBdr>
            </w:div>
            <w:div w:id="749161807">
              <w:marLeft w:val="0"/>
              <w:marRight w:val="0"/>
              <w:marTop w:val="0"/>
              <w:marBottom w:val="0"/>
              <w:divBdr>
                <w:top w:val="none" w:sz="0" w:space="0" w:color="auto"/>
                <w:left w:val="none" w:sz="0" w:space="0" w:color="auto"/>
                <w:bottom w:val="none" w:sz="0" w:space="0" w:color="auto"/>
                <w:right w:val="none" w:sz="0" w:space="0" w:color="auto"/>
              </w:divBdr>
            </w:div>
            <w:div w:id="88626867">
              <w:marLeft w:val="0"/>
              <w:marRight w:val="0"/>
              <w:marTop w:val="0"/>
              <w:marBottom w:val="0"/>
              <w:divBdr>
                <w:top w:val="none" w:sz="0" w:space="0" w:color="auto"/>
                <w:left w:val="none" w:sz="0" w:space="0" w:color="auto"/>
                <w:bottom w:val="none" w:sz="0" w:space="0" w:color="auto"/>
                <w:right w:val="none" w:sz="0" w:space="0" w:color="auto"/>
              </w:divBdr>
            </w:div>
            <w:div w:id="193786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business-standard.com/companies/news/orient-cement-q4-results-profit-drops-38-3-to-42-cr-revenue-slips-7-125041300622_1.html"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news18.com/business/cci-clears-ambuja-cements-acquisition-of-orient-cement-to-acquire-5-34-crore-shares-at-rs-395-40-apiece-9249901.html" TargetMode="External"/><Relationship Id="rId12" Type="http://schemas.openxmlformats.org/officeDocument/2006/relationships/image" Target="media/image4.png"/><Relationship Id="rId17" Type="http://schemas.openxmlformats.org/officeDocument/2006/relationships/hyperlink" Target="https://www.reuters.com/world/india/indias-nifty-50-set-sharp-drop-amid-global-trade-war-us-recession-fears-2025-04-07/"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upstox.com/news/market-news/stocks/orient-cement-share-price-declines-1-as-q4-profit-falls-38-3-to-42-crore-dividend-announced/article-160452/" TargetMode="External"/><Relationship Id="rId5" Type="http://schemas.openxmlformats.org/officeDocument/2006/relationships/hyperlink" Target="https://www.goodreturns.in/news/ambuja-cement-shares-jump-2-5-after-acquiring-orient-cement-stocks-in-focus-today-1410067.html" TargetMode="External"/><Relationship Id="rId15" Type="http://schemas.openxmlformats.org/officeDocument/2006/relationships/hyperlink" Target="https://www.tipranks.com/news/company-announcements/orient-cement-receives-cautionary-letters-from-nse-and-bse" TargetMode="External"/><Relationship Id="rId10" Type="http://schemas.openxmlformats.org/officeDocument/2006/relationships/image" Target="media/image3.png"/><Relationship Id="rId19" Type="http://schemas.openxmlformats.org/officeDocument/2006/relationships/hyperlink" Target="https://www.tipranks.com/news/company-announcements/orient-cement-approves-financial-results-and-dividend-expands-share-capital" TargetMode="External"/><Relationship Id="rId4" Type="http://schemas.openxmlformats.org/officeDocument/2006/relationships/webSettings" Target="webSettings.xml"/><Relationship Id="rId9" Type="http://schemas.openxmlformats.org/officeDocument/2006/relationships/hyperlink" Target="https://m.economictimes.com/markets/stocks/news/ambuja-cements-shares-in-focus-on-receiving-cci-approval-for-acquiring-orient-cement/articleshow/118723683.cms"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2393</Words>
  <Characters>13646</Characters>
  <Application>Microsoft Office Word</Application>
  <DocSecurity>0</DocSecurity>
  <Lines>113</Lines>
  <Paragraphs>32</Paragraphs>
  <ScaleCrop>false</ScaleCrop>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Tripti</dc:creator>
  <cp:keywords/>
  <dc:description/>
  <cp:lastModifiedBy>Kumari, Tripti</cp:lastModifiedBy>
  <cp:revision>1</cp:revision>
  <dcterms:created xsi:type="dcterms:W3CDTF">2025-04-15T16:33:00Z</dcterms:created>
  <dcterms:modified xsi:type="dcterms:W3CDTF">2025-04-15T16:35:00Z</dcterms:modified>
</cp:coreProperties>
</file>