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20" w:before="0"/>
        <w:jc w:val="center"/>
      </w:pPr>
      <w:r>
        <w:rPr>
          <w:rFonts w:ascii="Arial" w:cs="Arial" w:eastAsia="Arial" w:hAnsi="Arial"/>
          <w:b/>
          <w:bCs/>
          <w:color w:val="888888"/>
          <w:sz w:val="24"/>
          <w:szCs w:val="24"/>
        </w:rPr>
        <w:t xml:space="preserve">BLUESTOCK FINTECH PVT. LTD.</w:t>
      </w:r>
    </w:p>
    <w:p>
      <w:pPr>
        <w:spacing w:after="200" w:before="0"/>
        <w:jc w:val="center"/>
      </w:pPr>
      <w:r>
        <w:rPr>
          <w:rFonts w:ascii="Arial" w:cs="Arial" w:eastAsia="Arial" w:hAnsi="Arial"/>
          <w:color w:val="888888"/>
          <w:sz w:val="22"/>
          <w:szCs w:val="22"/>
        </w:rPr>
        <w:t xml:space="preserve">Individual Capstone Project</w:t>
      </w:r>
    </w:p>
    <w:p>
      <w:pPr>
        <w:pBdr>
          <w:bottom w:val="single" w:color="00B0F0" w:sz="12" w:space="6"/>
        </w:pBdr>
        <w:spacing w:after="400" w:before="200"/>
        <w:jc w:val="center"/>
      </w:pPr>
      <w:r>
        <w:rPr>
          <w:rFonts w:ascii="Arial" w:cs="Arial" w:eastAsia="Arial" w:hAnsi="Arial"/>
          <w:b/>
          <w:bCs/>
          <w:color w:val="1F4E79"/>
          <w:sz w:val="56"/>
          <w:szCs w:val="56"/>
        </w:rPr>
        <w:t xml:space="preserve">Mutual Fund Analytics Platform</w:t>
      </w:r>
    </w:p>
    <w:p>
      <w:pPr>
        <w:spacing w:after="100" w:before="100"/>
      </w:pPr>
      <w:r>
        <w:t xml:space="preserve"/>
      </w:r>
    </w:p>
    <w:p>
      <w:pPr>
        <w:jc w:val="center"/>
      </w:pPr>
      <w:r>
        <w:rPr>
          <w:rFonts w:ascii="Arial" w:cs="Arial" w:eastAsia="Arial" w:hAnsi="Arial"/>
          <w:i/>
          <w:iCs/>
          <w:color w:val="2E75B6"/>
          <w:sz w:val="28"/>
          <w:szCs w:val="28"/>
        </w:rPr>
        <w:t xml:space="preserve">A Full-Stack Data Engineering &amp; Analytics Capstone</w:t>
      </w:r>
    </w:p>
    <w:p>
      <w:pPr>
        <w:spacing w:after="100" w:before="100"/>
      </w:pPr>
      <w:r>
        <w:t xml:space="preserve"/>
      </w:r>
    </w:p>
    <w:p>
      <w:pPr>
        <w:spacing w:after="100" w:before="1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Datasets Analysed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files | 46,000+ records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Fund Schemes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 schemes across 10 AMCs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Investor Transactions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32,778 records | 12 states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Peak SIP Inflow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₹31,002 Cr (Dec 2025)</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Total Industry Folios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26.12 Crore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Submission 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June 2026</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The Bluestock MF Analytics Platform is a comprehensive, end-to-end data engineering and analytics solution built to deliver 360-degree visibility into the Indian Mutual Fund ecosystem. This capstone project demonstrates the complete lifecycle of financial data — from raw ingestion through a Python ETL pipeline, to normalised relational storage, advanced risk-adjusted analytics, and interactive Power BI dashboards.</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Key Highlights</w:t>
      </w:r>
    </w:p>
    <w:p>
      <w:pPr>
        <w:pStyle w:val="ListParagraph"/>
        <w:numPr>
          <w:ilvl w:val="0"/>
          <w:numId w:val="2"/>
        </w:numPr>
        <w:spacing w:after="60" w:before="60"/>
      </w:pPr>
      <w:r>
        <w:rPr>
          <w:rFonts w:ascii="Arial" w:cs="Arial" w:eastAsia="Arial" w:hAnsi="Arial"/>
          <w:sz w:val="22"/>
          <w:szCs w:val="22"/>
        </w:rPr>
        <w:t xml:space="preserve">Analysed 40 premium mutual fund schemes across 10 major AMCs including SBI, HDFC, ICICI Prudential, and Mirae Asset.</w:t>
      </w:r>
    </w:p>
    <w:p>
      <w:pPr>
        <w:pStyle w:val="ListParagraph"/>
        <w:numPr>
          <w:ilvl w:val="0"/>
          <w:numId w:val="2"/>
        </w:numPr>
        <w:spacing w:after="60" w:before="60"/>
      </w:pPr>
      <w:r>
        <w:rPr>
          <w:rFonts w:ascii="Arial" w:cs="Arial" w:eastAsia="Arial" w:hAnsi="Arial"/>
          <w:sz w:val="22"/>
          <w:szCs w:val="22"/>
        </w:rPr>
        <w:t xml:space="preserve">Processed 46,000+ daily NAV records spanning January 2022 to May 2026.</w:t>
      </w:r>
    </w:p>
    <w:p>
      <w:pPr>
        <w:pStyle w:val="ListParagraph"/>
        <w:numPr>
          <w:ilvl w:val="0"/>
          <w:numId w:val="2"/>
        </w:numPr>
        <w:spacing w:after="60" w:before="60"/>
      </w:pPr>
      <w:r>
        <w:rPr>
          <w:rFonts w:ascii="Arial" w:cs="Arial" w:eastAsia="Arial" w:hAnsi="Arial"/>
          <w:sz w:val="22"/>
          <w:szCs w:val="22"/>
        </w:rPr>
        <w:t xml:space="preserve">Evaluated 32,778 investor transactions from 5,000 unique investors across 12 Indian states.</w:t>
      </w:r>
    </w:p>
    <w:p>
      <w:pPr>
        <w:pStyle w:val="ListParagraph"/>
        <w:numPr>
          <w:ilvl w:val="0"/>
          <w:numId w:val="2"/>
        </w:numPr>
        <w:spacing w:after="60" w:before="60"/>
      </w:pPr>
      <w:r>
        <w:rPr>
          <w:rFonts w:ascii="Arial" w:cs="Arial" w:eastAsia="Arial" w:hAnsi="Arial"/>
          <w:sz w:val="22"/>
          <w:szCs w:val="22"/>
        </w:rPr>
        <w:t xml:space="preserve">Documented a historic SIP inflow milestone: Rs.31,002 Crore in December 2025.</w:t>
      </w:r>
    </w:p>
    <w:p>
      <w:pPr>
        <w:pStyle w:val="ListParagraph"/>
        <w:numPr>
          <w:ilvl w:val="0"/>
          <w:numId w:val="2"/>
        </w:numPr>
        <w:spacing w:after="60" w:before="60"/>
      </w:pPr>
      <w:r>
        <w:rPr>
          <w:rFonts w:ascii="Arial" w:cs="Arial" w:eastAsia="Arial" w:hAnsi="Arial"/>
          <w:sz w:val="22"/>
          <w:szCs w:val="22"/>
        </w:rPr>
        <w:t xml:space="preserve">Built a 4-page interactive Power BI dashboard enabling drill-through analytics.</w:t>
      </w:r>
    </w:p>
    <w:p>
      <w:pPr>
        <w:pStyle w:val="ListParagraph"/>
        <w:numPr>
          <w:ilvl w:val="0"/>
          <w:numId w:val="2"/>
        </w:numPr>
        <w:spacing w:after="60" w:before="60"/>
      </w:pPr>
      <w:r>
        <w:rPr>
          <w:rFonts w:ascii="Arial" w:cs="Arial" w:eastAsia="Arial" w:hAnsi="Arial"/>
          <w:sz w:val="22"/>
          <w:szCs w:val="22"/>
        </w:rPr>
        <w:t xml:space="preserve">Computed fund scorecards using Sharpe, Sortino, Alpha, Beta, VaR, and Max Drawdown metrics.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Metric</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Value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Source</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Total NAV Records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46,000+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mfapi.in</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Investor Transactions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32,778</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Internal Dataset</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Industry Folios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26.12 Crore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AMFI (Dec 2025)</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SBI AUM</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Rs.12.5 Lakh Crore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AMFI</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Peak SIP Inflow</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Rs.31,002 Crore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AMFI (Dec 2025)</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Fund Schemes Covered</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40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AMFI Codes</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2. Project Objectives</w:t>
      </w:r>
    </w:p>
    <w:p>
      <w:pPr>
        <w:spacing w:after="80" w:before="80"/>
      </w:pPr>
      <w:r>
        <w:rPr>
          <w:rFonts w:ascii="Arial" w:cs="Arial" w:eastAsia="Arial" w:hAnsi="Arial"/>
          <w:sz w:val="22"/>
          <w:szCs w:val="22"/>
        </w:rPr>
        <w:t xml:space="preserve">The primary goal of this capstone is to build an automated, production-grade data pipeline that evaluates fund performance and investor behaviour across the Indian mutual fund industry.</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Core Objectives</w:t>
      </w:r>
    </w:p>
    <w:p>
      <w:pPr>
        <w:pStyle w:val="ListParagraph"/>
        <w:numPr>
          <w:ilvl w:val="0"/>
          <w:numId w:val="2"/>
        </w:numPr>
        <w:spacing w:after="60" w:before="60"/>
      </w:pPr>
      <w:r>
        <w:rPr>
          <w:rFonts w:ascii="Arial" w:cs="Arial" w:eastAsia="Arial" w:hAnsi="Arial"/>
          <w:sz w:val="22"/>
          <w:szCs w:val="22"/>
        </w:rPr>
        <w:t xml:space="preserve">O1: Build a Python ETL pipeline ingesting data from AMFI India and mfapi.in REST API.</w:t>
      </w:r>
    </w:p>
    <w:p>
      <w:pPr>
        <w:pStyle w:val="ListParagraph"/>
        <w:numPr>
          <w:ilvl w:val="0"/>
          <w:numId w:val="2"/>
        </w:numPr>
        <w:spacing w:after="60" w:before="60"/>
      </w:pPr>
      <w:r>
        <w:rPr>
          <w:rFonts w:ascii="Arial" w:cs="Arial" w:eastAsia="Arial" w:hAnsi="Arial"/>
          <w:sz w:val="22"/>
          <w:szCs w:val="22"/>
        </w:rPr>
        <w:t xml:space="preserve">O2: Design a normalised SQL star schema with 5+ dimension and fact tables.</w:t>
      </w:r>
    </w:p>
    <w:p>
      <w:pPr>
        <w:pStyle w:val="ListParagraph"/>
        <w:numPr>
          <w:ilvl w:val="0"/>
          <w:numId w:val="2"/>
        </w:numPr>
        <w:spacing w:after="60" w:before="60"/>
      </w:pPr>
      <w:r>
        <w:rPr>
          <w:rFonts w:ascii="Arial" w:cs="Arial" w:eastAsia="Arial" w:hAnsi="Arial"/>
          <w:sz w:val="22"/>
          <w:szCs w:val="22"/>
        </w:rPr>
        <w:t xml:space="preserve">O3: Perform comprehensive EDA producing 15+ analytical charts.</w:t>
      </w:r>
    </w:p>
    <w:p>
      <w:pPr>
        <w:pStyle w:val="ListParagraph"/>
        <w:numPr>
          <w:ilvl w:val="0"/>
          <w:numId w:val="2"/>
        </w:numPr>
        <w:spacing w:after="60" w:before="60"/>
      </w:pPr>
      <w:r>
        <w:rPr>
          <w:rFonts w:ascii="Arial" w:cs="Arial" w:eastAsia="Arial" w:hAnsi="Arial"/>
          <w:sz w:val="22"/>
          <w:szCs w:val="22"/>
        </w:rPr>
        <w:t xml:space="preserve">O4: Compute Sharpe, Sortino, Alpha, Beta, VaR (95%), and Maximum Drawdown for all 40 schemes.</w:t>
      </w:r>
    </w:p>
    <w:p>
      <w:pPr>
        <w:pStyle w:val="ListParagraph"/>
        <w:numPr>
          <w:ilvl w:val="0"/>
          <w:numId w:val="2"/>
        </w:numPr>
        <w:spacing w:after="60" w:before="60"/>
      </w:pPr>
      <w:r>
        <w:rPr>
          <w:rFonts w:ascii="Arial" w:cs="Arial" w:eastAsia="Arial" w:hAnsi="Arial"/>
          <w:sz w:val="22"/>
          <w:szCs w:val="22"/>
        </w:rPr>
        <w:t xml:space="preserve">O5: Build a 4-page interactive Power BI dashboard with slicers and drill-through.</w:t>
      </w:r>
    </w:p>
    <w:p>
      <w:pPr>
        <w:pStyle w:val="ListParagraph"/>
        <w:numPr>
          <w:ilvl w:val="0"/>
          <w:numId w:val="2"/>
        </w:numPr>
        <w:spacing w:after="60" w:before="60"/>
      </w:pPr>
      <w:r>
        <w:rPr>
          <w:rFonts w:ascii="Arial" w:cs="Arial" w:eastAsia="Arial" w:hAnsi="Arial"/>
          <w:sz w:val="22"/>
          <w:szCs w:val="22"/>
        </w:rPr>
        <w:t xml:space="preserve">O6: Analyse investor demographics and geographic transaction patterns across 12 states.</w:t>
      </w:r>
    </w:p>
    <w:p>
      <w:pPr>
        <w:pStyle w:val="ListParagraph"/>
        <w:numPr>
          <w:ilvl w:val="0"/>
          <w:numId w:val="2"/>
        </w:numPr>
        <w:spacing w:after="60" w:before="60"/>
      </w:pPr>
      <w:r>
        <w:rPr>
          <w:rFonts w:ascii="Arial" w:cs="Arial" w:eastAsia="Arial" w:hAnsi="Arial"/>
          <w:sz w:val="22"/>
          <w:szCs w:val="22"/>
        </w:rPr>
        <w:t xml:space="preserve">O7: Benchmark fund returns against Nifty 50, Nifty 100, and Nifty Midcap 150.</w:t>
      </w:r>
    </w:p>
    <w:p>
      <w:pPr>
        <w:pStyle w:val="ListParagraph"/>
        <w:numPr>
          <w:ilvl w:val="0"/>
          <w:numId w:val="2"/>
        </w:numPr>
        <w:spacing w:after="60" w:before="60"/>
      </w:pPr>
      <w:r>
        <w:rPr>
          <w:rFonts w:ascii="Arial" w:cs="Arial" w:eastAsia="Arial" w:hAnsi="Arial"/>
          <w:sz w:val="22"/>
          <w:szCs w:val="22"/>
        </w:rPr>
        <w:t xml:space="preserve">O8: Document and present all findings in a professional report and 12-slide deck.</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3. Data Sources &amp; Integration</w:t>
      </w:r>
    </w:p>
    <w:p>
      <w:pPr>
        <w:spacing w:after="80" w:before="80"/>
      </w:pPr>
      <w:r>
        <w:rPr>
          <w:rFonts w:ascii="Arial" w:cs="Arial" w:eastAsia="Arial" w:hAnsi="Arial"/>
          <w:sz w:val="22"/>
          <w:szCs w:val="22"/>
        </w:rPr>
        <w:t xml:space="preserve">All data used in this project is sourced from publicly available Indian financial data providers — no paid APIs or proprietary datasets are required.</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Primary Sources</w:t>
      </w:r>
    </w:p>
    <w:p>
      <w:pPr>
        <w:pStyle w:val="ListParagraph"/>
        <w:numPr>
          <w:ilvl w:val="0"/>
          <w:numId w:val="2"/>
        </w:numPr>
        <w:spacing w:after="60" w:before="60"/>
      </w:pPr>
      <w:r>
        <w:rPr>
          <w:rFonts w:ascii="Arial" w:cs="Arial" w:eastAsia="Arial" w:hAnsi="Arial"/>
          <w:sz w:val="22"/>
          <w:szCs w:val="22"/>
        </w:rPr>
        <w:t xml:space="preserve">AMFI India (amfiindia.com): Historical AUM, folio count, SIP inflow reports, and scheme master data.</w:t>
      </w:r>
    </w:p>
    <w:p>
      <w:pPr>
        <w:pStyle w:val="ListParagraph"/>
        <w:numPr>
          <w:ilvl w:val="0"/>
          <w:numId w:val="2"/>
        </w:numPr>
        <w:spacing w:after="60" w:before="60"/>
      </w:pPr>
      <w:r>
        <w:rPr>
          <w:rFonts w:ascii="Arial" w:cs="Arial" w:eastAsia="Arial" w:hAnsi="Arial"/>
          <w:sz w:val="22"/>
          <w:szCs w:val="22"/>
        </w:rPr>
        <w:t xml:space="preserve">mfapi.in: Free REST API providing daily NAV history for all AMFI-registered schemes.</w:t>
      </w:r>
    </w:p>
    <w:p>
      <w:pPr>
        <w:pStyle w:val="ListParagraph"/>
        <w:numPr>
          <w:ilvl w:val="0"/>
          <w:numId w:val="2"/>
        </w:numPr>
        <w:spacing w:after="60" w:before="60"/>
      </w:pPr>
      <w:r>
        <w:rPr>
          <w:rFonts w:ascii="Arial" w:cs="Arial" w:eastAsia="Arial" w:hAnsi="Arial"/>
          <w:sz w:val="22"/>
          <w:szCs w:val="22"/>
        </w:rPr>
        <w:t xml:space="preserve">NSE/BSE: Benchmark index daily close prices for Nifty 50, Nifty 100, Nifty Midcap 150, and BSE SmallCap.</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Rows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01_fund_master.csv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Scheme codes, AMC, category, expense ratio, benchmark, risk grade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02_nav_history.csv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46,000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Daily NAV Jan 2022 to May 2026 from mfapi.in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03_aum_by_fund_house.csv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Quarterly AUM for top 10 AMCs 2022 to 2025</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04_monthly_sip_inflows.csv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AMFI monthly SIP inflows and active accounts Jan 2022 to Dec 2025</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05_category_inflows.csv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 inflows by category for FY 2024 to 25</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06_industry_folio_count.csv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Total MF folios growth 13.26 Cr to 26.12 Cr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07_scheme_performance.csv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1yr/3yr/5yr CAGR, Sharpe, Sortino, Alpha, Beta, Max Drawdown</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08_investor_transactions.csv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32,778</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SIP/Lumpsum/Redemption for 5,000 investors across 12 states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09_portfolio_holdings.csv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 stock holdings per equity fund with sector and weight</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10_benchmark_indices.csv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8,050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Daily close for Nifty 50, Nifty 100, Nifty Midcap 150, BSE SmallCap</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4. ETL Pipeline &amp; Data Architecture</w:t>
      </w:r>
    </w:p>
    <w:p>
      <w:pPr>
        <w:spacing w:after="80" w:before="80"/>
      </w:pPr>
      <w:r>
        <w:rPr>
          <w:rFonts w:ascii="Arial" w:cs="Arial" w:eastAsia="Arial" w:hAnsi="Arial"/>
          <w:sz w:val="22"/>
          <w:szCs w:val="22"/>
        </w:rPr>
        <w:t xml:space="preserve">The ETL pipeline is implemented as a modular Python script (etl_pipeline.py) that extracts data from CSV files and the mfapi.in REST API, transforms and cleans the data, and loads it into a SQLite relational database using SQLAlchemy ORM.</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Pipeline Stages</w:t>
      </w:r>
    </w:p>
    <w:p>
      <w:pPr>
        <w:pStyle w:val="ListParagraph"/>
        <w:numPr>
          <w:ilvl w:val="0"/>
          <w:numId w:val="2"/>
        </w:numPr>
        <w:spacing w:after="60" w:before="60"/>
      </w:pPr>
      <w:r>
        <w:rPr>
          <w:rFonts w:ascii="Arial" w:cs="Arial" w:eastAsia="Arial" w:hAnsi="Arial"/>
          <w:sz w:val="22"/>
          <w:szCs w:val="22"/>
        </w:rPr>
        <w:t xml:space="preserve">Extract: Reads all 10 CSV files from data/raw/ and fetches live NAV from mfapi.in for 5 key schemes.</w:t>
      </w:r>
    </w:p>
    <w:p>
      <w:pPr>
        <w:pStyle w:val="ListParagraph"/>
        <w:numPr>
          <w:ilvl w:val="0"/>
          <w:numId w:val="2"/>
        </w:numPr>
        <w:spacing w:after="60" w:before="60"/>
      </w:pPr>
      <w:r>
        <w:rPr>
          <w:rFonts w:ascii="Arial" w:cs="Arial" w:eastAsia="Arial" w:hAnsi="Arial"/>
          <w:sz w:val="22"/>
          <w:szCs w:val="22"/>
        </w:rPr>
        <w:t xml:space="preserve">Transform: Parses dates, forward-fills missing NAV for weekends and holidays, standardises transaction types, validates numeric ranges, and generates a dim_date table with 1,297 unique trading dates.</w:t>
      </w:r>
    </w:p>
    <w:p>
      <w:pPr>
        <w:pStyle w:val="ListParagraph"/>
        <w:numPr>
          <w:ilvl w:val="0"/>
          <w:numId w:val="2"/>
        </w:numPr>
        <w:spacing w:after="60" w:before="60"/>
      </w:pPr>
      <w:r>
        <w:rPr>
          <w:rFonts w:ascii="Arial" w:cs="Arial" w:eastAsia="Arial" w:hAnsi="Arial"/>
          <w:sz w:val="22"/>
          <w:szCs w:val="22"/>
        </w:rPr>
        <w:t xml:space="preserve">Load: Writes 6 tables to SQLite (bluestock_mf.db) and exports processed CSVs to data/processed/ for Power BI consumption.</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Star Schema Design</w:t>
      </w:r>
    </w:p>
    <w:p>
      <w:pPr>
        <w:spacing w:after="80" w:before="80"/>
      </w:pPr>
      <w:r>
        <w:rPr>
          <w:rFonts w:ascii="Arial" w:cs="Arial" w:eastAsia="Arial" w:hAnsi="Arial"/>
          <w:sz w:val="22"/>
          <w:szCs w:val="22"/>
        </w:rPr>
        <w:t xml:space="preserve">The database follows a normalised star schema with one central fact table and supporting dimension tables: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Rows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dim_fund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Master attributes: scheme code, name, AMC, category, risk grade, expense ratio</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dim_date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1,297</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Date dimension: year, quarter, month, week for time-series slicing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fact_nav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46,000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NAV values and computed daily returns per scheme</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fact_transactions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32,778</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Granular investor SIP, lumpsum, and redemption activity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fact_aum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Quarterly AUM per AMC in crores</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fact_performance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Pre-computed Sharpe, Sortino, Alpha, Beta, CAGR, Max Drawdown</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5. Exploratory Data Analysis — Key Findings</w:t>
      </w:r>
    </w:p>
    <w:p>
      <w:pPr>
        <w:spacing w:after="80" w:before="80"/>
      </w:pPr>
      <w:r>
        <w:rPr>
          <w:rFonts w:ascii="Arial" w:cs="Arial" w:eastAsia="Arial" w:hAnsi="Arial"/>
          <w:sz w:val="22"/>
          <w:szCs w:val="22"/>
        </w:rPr>
        <w:t xml:space="preserve">The EDA notebook (eda_notebook.ipynb) produced 15+ analytical charts covering NAV trends, AUM distribution, SIP growth, investor demographics, and correlation analysis. Key findings are documented below.</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Insight 1: The SIP Revolution</w:t>
      </w:r>
    </w:p>
    <w:p>
      <w:pPr>
        <w:spacing w:after="80" w:before="80"/>
      </w:pPr>
      <w:r>
        <w:rPr>
          <w:rFonts w:ascii="Arial" w:cs="Arial" w:eastAsia="Arial" w:hAnsi="Arial"/>
          <w:sz w:val="22"/>
          <w:szCs w:val="22"/>
        </w:rPr>
        <w:t xml:space="preserve">Monthly SIP inflows grew from approximately Rs.11,000 Crore in January 2022 to a historic peak of Rs.31,002 Crore in December 2025 — a 182% increase in 4 years. This reflects the increasing financialisation of Indian household savings and the growing adoption of systematic investment plans among retail investors, particularly in the 26-35 age segment.</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Insight 2: AUM Concentration</w:t>
      </w:r>
    </w:p>
    <w:p>
      <w:pPr>
        <w:spacing w:after="80" w:before="80"/>
      </w:pPr>
      <w:r>
        <w:rPr>
          <w:rFonts w:ascii="Arial" w:cs="Arial" w:eastAsia="Arial" w:hAnsi="Arial"/>
          <w:sz w:val="22"/>
          <w:szCs w:val="22"/>
        </w:rPr>
        <w:t xml:space="preserve">SBI Mutual Fund dominates the industry with an AUM of Rs.12.5 Lakh Crore, accounting for approximately 15% of total industry AUM. The top 3 AMCs (SBI, ICICI Prudential, HDFC) together account for over 40% of total assets, indicating significant concentration at the top.</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Insight 3: The 2023 Bull Run</w:t>
      </w:r>
    </w:p>
    <w:p>
      <w:pPr>
        <w:spacing w:after="80" w:before="80"/>
      </w:pPr>
      <w:r>
        <w:rPr>
          <w:rFonts w:ascii="Arial" w:cs="Arial" w:eastAsia="Arial" w:hAnsi="Arial"/>
          <w:sz w:val="22"/>
          <w:szCs w:val="22"/>
        </w:rPr>
        <w:t xml:space="preserve">NAV trend analysis reveals a strong bull market rally beginning in Q2 2023. Small cap and mid cap funds outperformed large cap funds by a significant margin during this period, with some small cap schemes generating over 35% returns in calendar year 2023 alone.</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Insight 4: Folio Explosion</w:t>
      </w:r>
    </w:p>
    <w:p>
      <w:pPr>
        <w:spacing w:after="80" w:before="80"/>
      </w:pPr>
      <w:r>
        <w:rPr>
          <w:rFonts w:ascii="Arial" w:cs="Arial" w:eastAsia="Arial" w:hAnsi="Arial"/>
          <w:sz w:val="22"/>
          <w:szCs w:val="22"/>
        </w:rPr>
        <w:t xml:space="preserve">Industry-wide unique folios doubled from 13.26 Crore in January 2022 to 26.12 Crore by December 2025, indicating that approximately 13 million new investor accounts were opened over this 4-year window — averaging nearly 270,000 new folios per month.</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Insight 5: Category Rotation</w:t>
      </w:r>
    </w:p>
    <w:p>
      <w:pPr>
        <w:spacing w:after="80" w:before="80"/>
      </w:pPr>
      <w:r>
        <w:rPr>
          <w:rFonts w:ascii="Arial" w:cs="Arial" w:eastAsia="Arial" w:hAnsi="Arial"/>
          <w:sz w:val="22"/>
          <w:szCs w:val="22"/>
        </w:rPr>
        <w:t xml:space="preserve">Category inflow heatmap analysis shows a clear rotation from liquid and debt funds toward mid cap, flexi cap, and thematic/sectoral funds through 2024-2025. ELSS (tax-saving) funds showed consistent positive inflows throughout the study period with seasonal spikes in January-March.</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6. Performance Analytics &amp; Risk Audit</w:t>
      </w:r>
    </w:p>
    <w:p>
      <w:pPr>
        <w:spacing w:after="80" w:before="80"/>
      </w:pPr>
      <w:r>
        <w:rPr>
          <w:rFonts w:ascii="Arial" w:cs="Arial" w:eastAsia="Arial" w:hAnsi="Arial"/>
          <w:sz w:val="22"/>
          <w:szCs w:val="22"/>
        </w:rPr>
        <w:t xml:space="preserve">The performance analytics notebook (performance_analytics.ipynb) computes advanced risk-adjusted metrics for all 40 schemes using a risk-free rate of 6.5% (RBI repo rate proxy) and 252 trading days for annualisation.</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Metrics Computed</w:t>
      </w:r>
    </w:p>
    <w:p>
      <w:pPr>
        <w:pStyle w:val="ListParagraph"/>
        <w:numPr>
          <w:ilvl w:val="0"/>
          <w:numId w:val="2"/>
        </w:numPr>
        <w:spacing w:after="60" w:before="60"/>
      </w:pPr>
      <w:r>
        <w:rPr>
          <w:rFonts w:ascii="Arial" w:cs="Arial" w:eastAsia="Arial" w:hAnsi="Arial"/>
          <w:sz w:val="22"/>
          <w:szCs w:val="22"/>
        </w:rPr>
        <w:t xml:space="preserve">Sharpe Ratio: (Rp - Rf) / Std(Rp) x sqrt(252). Measures return per unit of total risk.</w:t>
      </w:r>
    </w:p>
    <w:p>
      <w:pPr>
        <w:pStyle w:val="ListParagraph"/>
        <w:numPr>
          <w:ilvl w:val="0"/>
          <w:numId w:val="2"/>
        </w:numPr>
        <w:spacing w:after="60" w:before="60"/>
      </w:pPr>
      <w:r>
        <w:rPr>
          <w:rFonts w:ascii="Arial" w:cs="Arial" w:eastAsia="Arial" w:hAnsi="Arial"/>
          <w:sz w:val="22"/>
          <w:szCs w:val="22"/>
        </w:rPr>
        <w:t xml:space="preserve">Sortino Ratio: Same formula but denominator uses only downside deviation (negative return days).</w:t>
      </w:r>
    </w:p>
    <w:p>
      <w:pPr>
        <w:pStyle w:val="ListParagraph"/>
        <w:numPr>
          <w:ilvl w:val="0"/>
          <w:numId w:val="2"/>
        </w:numPr>
        <w:spacing w:after="60" w:before="60"/>
      </w:pPr>
      <w:r>
        <w:rPr>
          <w:rFonts w:ascii="Arial" w:cs="Arial" w:eastAsia="Arial" w:hAnsi="Arial"/>
          <w:sz w:val="22"/>
          <w:szCs w:val="22"/>
        </w:rPr>
        <w:t xml:space="preserve">Alpha &amp; Beta: OLS regression of fund daily returns on Nifty 100 returns using scipy.stats.linregress.</w:t>
      </w:r>
    </w:p>
    <w:p>
      <w:pPr>
        <w:pStyle w:val="ListParagraph"/>
        <w:numPr>
          <w:ilvl w:val="0"/>
          <w:numId w:val="2"/>
        </w:numPr>
        <w:spacing w:after="60" w:before="60"/>
      </w:pPr>
      <w:r>
        <w:rPr>
          <w:rFonts w:ascii="Arial" w:cs="Arial" w:eastAsia="Arial" w:hAnsi="Arial"/>
          <w:sz w:val="22"/>
          <w:szCs w:val="22"/>
        </w:rPr>
        <w:t xml:space="preserve">Maximum Drawdown: min(NAV / running_max - 1) identifying the worst peak-to-trough decline for each scheme.</w:t>
      </w:r>
    </w:p>
    <w:p>
      <w:pPr>
        <w:pStyle w:val="ListParagraph"/>
        <w:numPr>
          <w:ilvl w:val="0"/>
          <w:numId w:val="2"/>
        </w:numPr>
        <w:spacing w:after="60" w:before="60"/>
      </w:pPr>
      <w:r>
        <w:rPr>
          <w:rFonts w:ascii="Arial" w:cs="Arial" w:eastAsia="Arial" w:hAnsi="Arial"/>
          <w:sz w:val="22"/>
          <w:szCs w:val="22"/>
        </w:rPr>
        <w:t xml:space="preserve">VaR (95%): 5th percentile of the daily return distribution representing the worst expected single-day loss.</w:t>
      </w:r>
    </w:p>
    <w:p>
      <w:pPr>
        <w:pStyle w:val="ListParagraph"/>
        <w:numPr>
          <w:ilvl w:val="0"/>
          <w:numId w:val="2"/>
        </w:numPr>
        <w:spacing w:after="60" w:before="60"/>
      </w:pPr>
      <w:r>
        <w:rPr>
          <w:rFonts w:ascii="Arial" w:cs="Arial" w:eastAsia="Arial" w:hAnsi="Arial"/>
          <w:sz w:val="22"/>
          <w:szCs w:val="22"/>
        </w:rPr>
        <w:t xml:space="preserve">CVaR: Mean of returns below the VaR threshold, representing expected loss in the tail scenario.</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Bluestock Fund Scorecard</w:t>
      </w:r>
    </w:p>
    <w:p>
      <w:pPr>
        <w:spacing w:after="80" w:before="80"/>
      </w:pPr>
      <w:r>
        <w:rPr>
          <w:rFonts w:ascii="Arial" w:cs="Arial" w:eastAsia="Arial" w:hAnsi="Arial"/>
          <w:sz w:val="22"/>
          <w:szCs w:val="22"/>
        </w:rPr>
        <w:t xml:space="preserve">A composite 0-100 scorecard ranks all 40 schemes using a weighted blend of five ranked metrics: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Metric</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Weight</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Rationale</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3-Year CAGR Rank</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30%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Primary return measure over meaningful horizon</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Sharpe Ratio Rank</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25%</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Risk-adjusted return quality</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Alpha Rank</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20%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Active return vs benchmark</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Expense Ratio Rank (inverse)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15%</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Lower cost = better investor outcome</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sz w:val="22"/>
                <w:szCs w:val="22"/>
              </w:rPr>
              <w:t xml:space="preserve">Max Drawdown Rank (inverse)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10%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sz w:val="22"/>
                <w:szCs w:val="22"/>
              </w:rPr>
              <w:t xml:space="preserve">Downside risk protection</w:t>
            </w:r>
          </w:p>
        </w:tc>
      </w:tr>
    </w:tbl>
    <w:p>
      <w:pPr>
        <w:spacing w:after="100" w:before="100"/>
      </w:pPr>
      <w:r>
        <w:t xml:space="preserve"/>
      </w:r>
    </w:p>
    <w:p>
      <w:pPr>
        <w:spacing w:after="80" w:before="80"/>
      </w:pPr>
      <w:r>
        <w:rPr>
          <w:rFonts w:ascii="Arial" w:cs="Arial" w:eastAsia="Arial" w:hAnsi="Arial"/>
          <w:sz w:val="22"/>
          <w:szCs w:val="22"/>
        </w:rPr>
        <w:t xml:space="preserve">Top-performing funds by scorecard include Mirae Asset Large Cap, ICICI Pru Bluechip (Direct), and HDFC Mid-Cap Opportunities — all demonstrating consistent alpha generation with controlled drawdowns.</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7. Power BI Dashboard Overview</w:t>
      </w:r>
    </w:p>
    <w:p>
      <w:pPr>
        <w:spacing w:after="80" w:before="80"/>
      </w:pPr>
      <w:r>
        <w:rPr>
          <w:rFonts w:ascii="Arial" w:cs="Arial" w:eastAsia="Arial" w:hAnsi="Arial"/>
          <w:sz w:val="22"/>
          <w:szCs w:val="22"/>
        </w:rPr>
        <w:t xml:space="preserve">The interactive dashboard (mutual_funds_analytics.pbix) consists of 4 pages built on 10 imported data tables with cross-page slicers enabling dynamic filtering by fund house, category, state, risk grade, and time period.</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Page 1: Industry Overview</w:t>
      </w:r>
    </w:p>
    <w:p>
      <w:pPr>
        <w:pStyle w:val="ListParagraph"/>
        <w:numPr>
          <w:ilvl w:val="0"/>
          <w:numId w:val="2"/>
        </w:numPr>
        <w:spacing w:after="60" w:before="60"/>
      </w:pPr>
      <w:r>
        <w:rPr>
          <w:rFonts w:ascii="Arial" w:cs="Arial" w:eastAsia="Arial" w:hAnsi="Arial"/>
          <w:sz w:val="22"/>
          <w:szCs w:val="22"/>
        </w:rPr>
        <w:t xml:space="preserve">KPI cards: Total AUM (39M), SIP Inflows (940K), Total Folios (416.42), Scheme Count.</w:t>
      </w:r>
    </w:p>
    <w:p>
      <w:pPr>
        <w:pStyle w:val="ListParagraph"/>
        <w:numPr>
          <w:ilvl w:val="0"/>
          <w:numId w:val="2"/>
        </w:numPr>
        <w:spacing w:after="60" w:before="60"/>
      </w:pPr>
      <w:r>
        <w:rPr>
          <w:rFonts w:ascii="Arial" w:cs="Arial" w:eastAsia="Arial" w:hAnsi="Arial"/>
          <w:sz w:val="22"/>
          <w:szCs w:val="22"/>
        </w:rPr>
        <w:t xml:space="preserve">Clustered bar chart: AUM by fund house showing SBI dominance.</w:t>
      </w:r>
    </w:p>
    <w:p>
      <w:pPr>
        <w:pStyle w:val="ListParagraph"/>
        <w:numPr>
          <w:ilvl w:val="0"/>
          <w:numId w:val="2"/>
        </w:numPr>
        <w:spacing w:after="60" w:before="60"/>
      </w:pPr>
      <w:r>
        <w:rPr>
          <w:rFonts w:ascii="Arial" w:cs="Arial" w:eastAsia="Arial" w:hAnsi="Arial"/>
          <w:sz w:val="22"/>
          <w:szCs w:val="22"/>
        </w:rPr>
        <w:t xml:space="preserve">Line chart: SIP inflow trend 2022 to 2025 showing exponential growth.</w:t>
      </w:r>
    </w:p>
    <w:p>
      <w:pPr>
        <w:pStyle w:val="ListParagraph"/>
        <w:numPr>
          <w:ilvl w:val="0"/>
          <w:numId w:val="2"/>
        </w:numPr>
        <w:spacing w:after="60" w:before="60"/>
      </w:pPr>
      <w:r>
        <w:rPr>
          <w:rFonts w:ascii="Arial" w:cs="Arial" w:eastAsia="Arial" w:hAnsi="Arial"/>
          <w:sz w:val="22"/>
          <w:szCs w:val="22"/>
        </w:rPr>
        <w:t xml:space="preserve">Slicers: Category and Fund House for dynamic filtering.</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Page 2: Fund Performance</w:t>
      </w:r>
    </w:p>
    <w:p>
      <w:pPr>
        <w:pStyle w:val="ListParagraph"/>
        <w:numPr>
          <w:ilvl w:val="0"/>
          <w:numId w:val="2"/>
        </w:numPr>
        <w:spacing w:after="60" w:before="60"/>
      </w:pPr>
      <w:r>
        <w:rPr>
          <w:rFonts w:ascii="Arial" w:cs="Arial" w:eastAsia="Arial" w:hAnsi="Arial"/>
          <w:sz w:val="22"/>
          <w:szCs w:val="22"/>
        </w:rPr>
        <w:t xml:space="preserve">Scatter plot: 3-year return (X) vs Sharpe ratio (Y) with scheme-level labels.</w:t>
      </w:r>
    </w:p>
    <w:p>
      <w:pPr>
        <w:pStyle w:val="ListParagraph"/>
        <w:numPr>
          <w:ilvl w:val="0"/>
          <w:numId w:val="2"/>
        </w:numPr>
        <w:spacing w:after="60" w:before="60"/>
      </w:pPr>
      <w:r>
        <w:rPr>
          <w:rFonts w:ascii="Arial" w:cs="Arial" w:eastAsia="Arial" w:hAnsi="Arial"/>
          <w:sz w:val="22"/>
          <w:szCs w:val="22"/>
        </w:rPr>
        <w:t xml:space="preserve">Fund scorecard table: 1yr return, 3yr return, Sharpe, Max Drawdown, Alpha for all 40 schemes.</w:t>
      </w:r>
    </w:p>
    <w:p>
      <w:pPr>
        <w:pStyle w:val="ListParagraph"/>
        <w:numPr>
          <w:ilvl w:val="0"/>
          <w:numId w:val="2"/>
        </w:numPr>
        <w:spacing w:after="60" w:before="60"/>
      </w:pPr>
      <w:r>
        <w:rPr>
          <w:rFonts w:ascii="Arial" w:cs="Arial" w:eastAsia="Arial" w:hAnsi="Arial"/>
          <w:sz w:val="22"/>
          <w:szCs w:val="22"/>
        </w:rPr>
        <w:t xml:space="preserve">Bar chart: Maximum drawdown by scheme name sorted by severity.</w:t>
      </w:r>
    </w:p>
    <w:p>
      <w:pPr>
        <w:pStyle w:val="ListParagraph"/>
        <w:numPr>
          <w:ilvl w:val="0"/>
          <w:numId w:val="2"/>
        </w:numPr>
        <w:spacing w:after="60" w:before="60"/>
      </w:pPr>
      <w:r>
        <w:rPr>
          <w:rFonts w:ascii="Arial" w:cs="Arial" w:eastAsia="Arial" w:hAnsi="Arial"/>
          <w:sz w:val="22"/>
          <w:szCs w:val="22"/>
        </w:rPr>
        <w:t xml:space="preserve">Slicers: Category and Risk Category.</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Page 3: Investor Analytics</w:t>
      </w:r>
    </w:p>
    <w:p>
      <w:pPr>
        <w:pStyle w:val="ListParagraph"/>
        <w:numPr>
          <w:ilvl w:val="0"/>
          <w:numId w:val="2"/>
        </w:numPr>
        <w:spacing w:after="60" w:before="60"/>
      </w:pPr>
      <w:r>
        <w:rPr>
          <w:rFonts w:ascii="Arial" w:cs="Arial" w:eastAsia="Arial" w:hAnsi="Arial"/>
          <w:sz w:val="22"/>
          <w:szCs w:val="22"/>
        </w:rPr>
        <w:t xml:space="preserve">Bar chart: Transaction amount by state — Maharashtra and Delhi lead.</w:t>
      </w:r>
    </w:p>
    <w:p>
      <w:pPr>
        <w:pStyle w:val="ListParagraph"/>
        <w:numPr>
          <w:ilvl w:val="0"/>
          <w:numId w:val="2"/>
        </w:numPr>
        <w:spacing w:after="60" w:before="60"/>
      </w:pPr>
      <w:r>
        <w:rPr>
          <w:rFonts w:ascii="Arial" w:cs="Arial" w:eastAsia="Arial" w:hAnsi="Arial"/>
          <w:sz w:val="22"/>
          <w:szCs w:val="22"/>
        </w:rPr>
        <w:t xml:space="preserve">Donut chart: SIP (58.49%), Lumpsum (35.34%), Redemption (6.17%) split.</w:t>
      </w:r>
    </w:p>
    <w:p>
      <w:pPr>
        <w:pStyle w:val="ListParagraph"/>
        <w:numPr>
          <w:ilvl w:val="0"/>
          <w:numId w:val="2"/>
        </w:numPr>
        <w:spacing w:after="60" w:before="60"/>
      </w:pPr>
      <w:r>
        <w:rPr>
          <w:rFonts w:ascii="Arial" w:cs="Arial" w:eastAsia="Arial" w:hAnsi="Arial"/>
          <w:sz w:val="22"/>
          <w:szCs w:val="22"/>
        </w:rPr>
        <w:t xml:space="preserve">Column chart: Average investment amount by age group (26-35 highest volume).</w:t>
      </w:r>
    </w:p>
    <w:p>
      <w:pPr>
        <w:pStyle w:val="ListParagraph"/>
        <w:numPr>
          <w:ilvl w:val="0"/>
          <w:numId w:val="2"/>
        </w:numPr>
        <w:spacing w:after="60" w:before="60"/>
      </w:pPr>
      <w:r>
        <w:rPr>
          <w:rFonts w:ascii="Arial" w:cs="Arial" w:eastAsia="Arial" w:hAnsi="Arial"/>
          <w:sz w:val="22"/>
          <w:szCs w:val="22"/>
        </w:rPr>
        <w:t xml:space="preserve">Line chart: Monthly transaction volume timeline 2024-2025.</w:t>
      </w:r>
    </w:p>
    <w:p>
      <w:pPr>
        <w:pStyle w:val="ListParagraph"/>
        <w:numPr>
          <w:ilvl w:val="0"/>
          <w:numId w:val="2"/>
        </w:numPr>
        <w:spacing w:after="60" w:before="60"/>
      </w:pPr>
      <w:r>
        <w:rPr>
          <w:rFonts w:ascii="Arial" w:cs="Arial" w:eastAsia="Arial" w:hAnsi="Arial"/>
          <w:sz w:val="22"/>
          <w:szCs w:val="22"/>
        </w:rPr>
        <w:t xml:space="preserve">Slicers: State and City Tier (T30/B30).</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Page 4: SIP &amp; Market Trends</w:t>
      </w:r>
    </w:p>
    <w:p>
      <w:pPr>
        <w:pStyle w:val="ListParagraph"/>
        <w:numPr>
          <w:ilvl w:val="0"/>
          <w:numId w:val="2"/>
        </w:numPr>
        <w:spacing w:after="60" w:before="60"/>
      </w:pPr>
      <w:r>
        <w:rPr>
          <w:rFonts w:ascii="Arial" w:cs="Arial" w:eastAsia="Arial" w:hAnsi="Arial"/>
          <w:sz w:val="22"/>
          <w:szCs w:val="22"/>
        </w:rPr>
        <w:t xml:space="preserve">Line chart: Monthly SIP inflow trend Jan 2022 to Dec 2025.</w:t>
      </w:r>
    </w:p>
    <w:p>
      <w:pPr>
        <w:pStyle w:val="ListParagraph"/>
        <w:numPr>
          <w:ilvl w:val="0"/>
          <w:numId w:val="2"/>
        </w:numPr>
        <w:spacing w:after="60" w:before="60"/>
      </w:pPr>
      <w:r>
        <w:rPr>
          <w:rFonts w:ascii="Arial" w:cs="Arial" w:eastAsia="Arial" w:hAnsi="Arial"/>
          <w:sz w:val="22"/>
          <w:szCs w:val="22"/>
        </w:rPr>
        <w:t xml:space="preserve">Bar chart: Net inflow by category — Liquid, Sectoral, Flexi Cap leading.</w:t>
      </w:r>
    </w:p>
    <w:p>
      <w:pPr>
        <w:pStyle w:val="ListParagraph"/>
        <w:numPr>
          <w:ilvl w:val="0"/>
          <w:numId w:val="2"/>
        </w:numPr>
        <w:spacing w:after="60" w:before="60"/>
      </w:pPr>
      <w:r>
        <w:rPr>
          <w:rFonts w:ascii="Arial" w:cs="Arial" w:eastAsia="Arial" w:hAnsi="Arial"/>
          <w:sz w:val="22"/>
          <w:szCs w:val="22"/>
        </w:rPr>
        <w:t xml:space="preserve">Multi-line chart: Benchmark comparison — Nifty 50, Nifty 100, Nifty Midcap 150, BSE SmallCap, CRISIL Gilt.</w:t>
      </w:r>
    </w:p>
    <w:p>
      <w:pPr>
        <w:pStyle w:val="ListParagraph"/>
        <w:numPr>
          <w:ilvl w:val="0"/>
          <w:numId w:val="2"/>
        </w:numPr>
        <w:spacing w:after="60" w:before="60"/>
      </w:pPr>
      <w:r>
        <w:rPr>
          <w:rFonts w:ascii="Arial" w:cs="Arial" w:eastAsia="Arial" w:hAnsi="Arial"/>
          <w:sz w:val="22"/>
          <w:szCs w:val="22"/>
        </w:rPr>
        <w:t xml:space="preserve">Slicers: Month range and Category.</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8. Investor Demographics &amp; Transaction Patterns</w:t>
      </w:r>
    </w:p>
    <w:p>
      <w:pPr>
        <w:spacing w:after="80" w:before="80"/>
      </w:pPr>
      <w:r>
        <w:rPr>
          <w:rFonts w:ascii="Arial" w:cs="Arial" w:eastAsia="Arial" w:hAnsi="Arial"/>
          <w:sz w:val="22"/>
          <w:szCs w:val="22"/>
        </w:rPr>
        <w:t xml:space="preserve">Analysis of 32,778 investor transactions from 5,000 unique investors across 12 Indian states reveals clear demographic and behavioural patterns that have implications for product design and distribution strategy.</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Age Segment Analysis</w:t>
      </w:r>
    </w:p>
    <w:p>
      <w:pPr>
        <w:pStyle w:val="ListParagraph"/>
        <w:numPr>
          <w:ilvl w:val="0"/>
          <w:numId w:val="2"/>
        </w:numPr>
        <w:spacing w:after="60" w:before="60"/>
      </w:pPr>
      <w:r>
        <w:rPr>
          <w:rFonts w:ascii="Arial" w:cs="Arial" w:eastAsia="Arial" w:hAnsi="Arial"/>
          <w:sz w:val="22"/>
          <w:szCs w:val="22"/>
        </w:rPr>
        <w:t xml:space="preserve">26-35 years: Highest transaction volume — the digital-first millennial investor segment driving SIP adoption.</w:t>
      </w:r>
    </w:p>
    <w:p>
      <w:pPr>
        <w:pStyle w:val="ListParagraph"/>
        <w:numPr>
          <w:ilvl w:val="0"/>
          <w:numId w:val="2"/>
        </w:numPr>
        <w:spacing w:after="60" w:before="60"/>
      </w:pPr>
      <w:r>
        <w:rPr>
          <w:rFonts w:ascii="Arial" w:cs="Arial" w:eastAsia="Arial" w:hAnsi="Arial"/>
          <w:sz w:val="22"/>
          <w:szCs w:val="22"/>
        </w:rPr>
        <w:t xml:space="preserve">36-45 years: Second highest with a greater proportion of lumpsum investments, reflecting higher disposable income.</w:t>
      </w:r>
    </w:p>
    <w:p>
      <w:pPr>
        <w:pStyle w:val="ListParagraph"/>
        <w:numPr>
          <w:ilvl w:val="0"/>
          <w:numId w:val="2"/>
        </w:numPr>
        <w:spacing w:after="60" w:before="60"/>
      </w:pPr>
      <w:r>
        <w:rPr>
          <w:rFonts w:ascii="Arial" w:cs="Arial" w:eastAsia="Arial" w:hAnsi="Arial"/>
          <w:sz w:val="22"/>
          <w:szCs w:val="22"/>
        </w:rPr>
        <w:t xml:space="preserve">18-25 years: Smallest segment by value but fastest growing, primarily through micro-SIPs.</w:t>
      </w:r>
    </w:p>
    <w:p>
      <w:pPr>
        <w:pStyle w:val="ListParagraph"/>
        <w:numPr>
          <w:ilvl w:val="0"/>
          <w:numId w:val="2"/>
        </w:numPr>
        <w:spacing w:after="60" w:before="60"/>
      </w:pPr>
      <w:r>
        <w:rPr>
          <w:rFonts w:ascii="Arial" w:cs="Arial" w:eastAsia="Arial" w:hAnsi="Arial"/>
          <w:sz w:val="22"/>
          <w:szCs w:val="22"/>
        </w:rPr>
        <w:t xml:space="preserve">46-55 years: Shifting toward debt and hybrid funds with lower risk appetite.</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Geographic Distribution</w:t>
      </w:r>
    </w:p>
    <w:p>
      <w:pPr>
        <w:pStyle w:val="ListParagraph"/>
        <w:numPr>
          <w:ilvl w:val="0"/>
          <w:numId w:val="2"/>
        </w:numPr>
        <w:spacing w:after="60" w:before="60"/>
      </w:pPr>
      <w:r>
        <w:rPr>
          <w:rFonts w:ascii="Arial" w:cs="Arial" w:eastAsia="Arial" w:hAnsi="Arial"/>
          <w:sz w:val="22"/>
          <w:szCs w:val="22"/>
        </w:rPr>
        <w:t xml:space="preserve">Top 3 states by transaction value: Maharashtra, Delhi, Karnataka.</w:t>
      </w:r>
    </w:p>
    <w:p>
      <w:pPr>
        <w:pStyle w:val="ListParagraph"/>
        <w:numPr>
          <w:ilvl w:val="0"/>
          <w:numId w:val="2"/>
        </w:numPr>
        <w:spacing w:after="60" w:before="60"/>
      </w:pPr>
      <w:r>
        <w:rPr>
          <w:rFonts w:ascii="Arial" w:cs="Arial" w:eastAsia="Arial" w:hAnsi="Arial"/>
          <w:sz w:val="22"/>
          <w:szCs w:val="22"/>
        </w:rPr>
        <w:t xml:space="preserve">T30 cities account for approximately 56% of total transaction volume.</w:t>
      </w:r>
    </w:p>
    <w:p>
      <w:pPr>
        <w:pStyle w:val="ListParagraph"/>
        <w:numPr>
          <w:ilvl w:val="0"/>
          <w:numId w:val="2"/>
        </w:numPr>
        <w:spacing w:after="60" w:before="60"/>
      </w:pPr>
      <w:r>
        <w:rPr>
          <w:rFonts w:ascii="Arial" w:cs="Arial" w:eastAsia="Arial" w:hAnsi="Arial"/>
          <w:sz w:val="22"/>
          <w:szCs w:val="22"/>
        </w:rPr>
        <w:t xml:space="preserve">B30 (smaller cities) segment is growing 2.5x faster than T30, indicating financial inclusion impact.</w:t>
      </w:r>
    </w:p>
    <w:p>
      <w:pPr>
        <w:pStyle w:val="ListParagraph"/>
        <w:numPr>
          <w:ilvl w:val="0"/>
          <w:numId w:val="2"/>
        </w:numPr>
        <w:spacing w:after="60" w:before="60"/>
      </w:pPr>
      <w:r>
        <w:rPr>
          <w:rFonts w:ascii="Arial" w:cs="Arial" w:eastAsia="Arial" w:hAnsi="Arial"/>
          <w:sz w:val="22"/>
          <w:szCs w:val="22"/>
        </w:rPr>
        <w:t xml:space="preserve">Punjab and Tamil Nadu showing strong mid-income SIP penetration.</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Transaction Mix</w:t>
      </w:r>
    </w:p>
    <w:p>
      <w:pPr>
        <w:pStyle w:val="ListParagraph"/>
        <w:numPr>
          <w:ilvl w:val="0"/>
          <w:numId w:val="2"/>
        </w:numPr>
        <w:spacing w:after="60" w:before="60"/>
      </w:pPr>
      <w:r>
        <w:rPr>
          <w:rFonts w:ascii="Arial" w:cs="Arial" w:eastAsia="Arial" w:hAnsi="Arial"/>
          <w:sz w:val="22"/>
          <w:szCs w:val="22"/>
        </w:rPr>
        <w:t xml:space="preserve">SIP dominates at 58.49% of all transactions by amount — confirming systematic investment as the preferred mode.</w:t>
      </w:r>
    </w:p>
    <w:p>
      <w:pPr>
        <w:pStyle w:val="ListParagraph"/>
        <w:numPr>
          <w:ilvl w:val="0"/>
          <w:numId w:val="2"/>
        </w:numPr>
        <w:spacing w:after="60" w:before="60"/>
      </w:pPr>
      <w:r>
        <w:rPr>
          <w:rFonts w:ascii="Arial" w:cs="Arial" w:eastAsia="Arial" w:hAnsi="Arial"/>
          <w:sz w:val="22"/>
          <w:szCs w:val="22"/>
        </w:rPr>
        <w:t xml:space="preserve">Lumpsum represents 35.34% — concentrated in Q1 (tax season) and after market corrections.</w:t>
      </w:r>
    </w:p>
    <w:p>
      <w:pPr>
        <w:pStyle w:val="ListParagraph"/>
        <w:numPr>
          <w:ilvl w:val="0"/>
          <w:numId w:val="2"/>
        </w:numPr>
        <w:spacing w:after="60" w:before="60"/>
      </w:pPr>
      <w:r>
        <w:rPr>
          <w:rFonts w:ascii="Arial" w:cs="Arial" w:eastAsia="Arial" w:hAnsi="Arial"/>
          <w:sz w:val="22"/>
          <w:szCs w:val="22"/>
        </w:rPr>
        <w:t xml:space="preserve">Redemption is only 6.17%, indicating strong holding behaviour and low churn rates overall.</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9. Benchmark Comparison Results</w:t>
      </w:r>
    </w:p>
    <w:p>
      <w:pPr>
        <w:spacing w:after="80" w:before="80"/>
      </w:pPr>
      <w:r>
        <w:rPr>
          <w:rFonts w:ascii="Arial" w:cs="Arial" w:eastAsia="Arial" w:hAnsi="Arial"/>
          <w:sz w:val="22"/>
          <w:szCs w:val="22"/>
        </w:rPr>
        <w:t xml:space="preserve">Fund returns are compared against Nifty 50, Nifty 100, Nifty Midcap 150, and BSE SmallCap using daily closing prices from 10_benchmark_indices.csv. All returns are normalised to a base of 100 at January 2022.</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Key Findings</w:t>
      </w:r>
    </w:p>
    <w:p>
      <w:pPr>
        <w:pStyle w:val="ListParagraph"/>
        <w:numPr>
          <w:ilvl w:val="0"/>
          <w:numId w:val="2"/>
        </w:numPr>
        <w:spacing w:after="60" w:before="60"/>
      </w:pPr>
      <w:r>
        <w:rPr>
          <w:rFonts w:ascii="Arial" w:cs="Arial" w:eastAsia="Arial" w:hAnsi="Arial"/>
          <w:sz w:val="22"/>
          <w:szCs w:val="22"/>
        </w:rPr>
        <w:t xml:space="preserve">Mid cap and small cap funds significantly outperformed large cap benchmarks over the 3-year period, with top mid cap schemes reaching a normalised value of 350 vs Nifty 50 at approximately 110-120.</w:t>
      </w:r>
    </w:p>
    <w:p>
      <w:pPr>
        <w:pStyle w:val="ListParagraph"/>
        <w:numPr>
          <w:ilvl w:val="0"/>
          <w:numId w:val="2"/>
        </w:numPr>
        <w:spacing w:after="60" w:before="60"/>
      </w:pPr>
      <w:r>
        <w:rPr>
          <w:rFonts w:ascii="Arial" w:cs="Arial" w:eastAsia="Arial" w:hAnsi="Arial"/>
          <w:sz w:val="22"/>
          <w:szCs w:val="22"/>
        </w:rPr>
        <w:t xml:space="preserve">HDFC Short Term Debt Fund showed the lowest Max Drawdown at -6.01%, reflecting the stability of short duration debt in volatile markets.</w:t>
      </w:r>
    </w:p>
    <w:p>
      <w:pPr>
        <w:pStyle w:val="ListParagraph"/>
        <w:numPr>
          <w:ilvl w:val="0"/>
          <w:numId w:val="2"/>
        </w:numPr>
        <w:spacing w:after="60" w:before="60"/>
      </w:pPr>
      <w:r>
        <w:rPr>
          <w:rFonts w:ascii="Arial" w:cs="Arial" w:eastAsia="Arial" w:hAnsi="Arial"/>
          <w:sz w:val="22"/>
          <w:szCs w:val="22"/>
        </w:rPr>
        <w:t xml:space="preserve">Active large cap funds showed mixed alpha generation against Nifty 100, with approximately 40% of large cap schemes failing to beat the benchmark after expense ratios.</w:t>
      </w:r>
    </w:p>
    <w:p>
      <w:pPr>
        <w:pStyle w:val="ListParagraph"/>
        <w:numPr>
          <w:ilvl w:val="0"/>
          <w:numId w:val="2"/>
        </w:numPr>
        <w:spacing w:after="60" w:before="60"/>
      </w:pPr>
      <w:r>
        <w:rPr>
          <w:rFonts w:ascii="Arial" w:cs="Arial" w:eastAsia="Arial" w:hAnsi="Arial"/>
          <w:sz w:val="22"/>
          <w:szCs w:val="22"/>
        </w:rPr>
        <w:t xml:space="preserve">Tracking error for liquid funds against CRISIL Liquid Index was below 0.5% annualised, indicating tight benchmark adherence.</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10. Advanced Analytics</w:t>
      </w:r>
    </w:p>
    <w:p>
      <w:pPr>
        <w:spacing w:after="80" w:before="80"/>
      </w:pPr>
      <w:r>
        <w:rPr>
          <w:rFonts w:ascii="Arial" w:cs="Arial" w:eastAsia="Arial" w:hAnsi="Arial"/>
          <w:sz w:val="22"/>
          <w:szCs w:val="22"/>
        </w:rPr>
        <w:t xml:space="preserve">The advanced_analytics.ipynb notebook extends the core analysis with investor cohort modelling, SIP continuity analysis, a fund recommender system, and portfolio concentration measurement.</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Key Analyses</w:t>
      </w:r>
    </w:p>
    <w:p>
      <w:pPr>
        <w:pStyle w:val="ListParagraph"/>
        <w:numPr>
          <w:ilvl w:val="0"/>
          <w:numId w:val="2"/>
        </w:numPr>
        <w:spacing w:after="60" w:before="60"/>
      </w:pPr>
      <w:r>
        <w:rPr>
          <w:rFonts w:ascii="Arial" w:cs="Arial" w:eastAsia="Arial" w:hAnsi="Arial"/>
          <w:sz w:val="22"/>
          <w:szCs w:val="22"/>
        </w:rPr>
        <w:t xml:space="preserve">Investor Cohort Analysis: Investors grouped by first transaction year show that 2023 cohort has the highest average SIP amount (Rs.8,200/month) vs 2022 cohort (Rs.6,500/month).</w:t>
      </w:r>
    </w:p>
    <w:p>
      <w:pPr>
        <w:pStyle w:val="ListParagraph"/>
        <w:numPr>
          <w:ilvl w:val="0"/>
          <w:numId w:val="2"/>
        </w:numPr>
        <w:spacing w:after="60" w:before="60"/>
      </w:pPr>
      <w:r>
        <w:rPr>
          <w:rFonts w:ascii="Arial" w:cs="Arial" w:eastAsia="Arial" w:hAnsi="Arial"/>
          <w:sz w:val="22"/>
          <w:szCs w:val="22"/>
        </w:rPr>
        <w:t xml:space="preserve">SIP Continuity: Among investors with 6+ SIP transactions, approximately 3.5% show gaps greater than 35 days, flagged as at-risk for lapse.</w:t>
      </w:r>
    </w:p>
    <w:p>
      <w:pPr>
        <w:pStyle w:val="ListParagraph"/>
        <w:numPr>
          <w:ilvl w:val="0"/>
          <w:numId w:val="2"/>
        </w:numPr>
        <w:spacing w:after="60" w:before="60"/>
      </w:pPr>
      <w:r>
        <w:rPr>
          <w:rFonts w:ascii="Arial" w:cs="Arial" w:eastAsia="Arial" w:hAnsi="Arial"/>
          <w:sz w:val="22"/>
          <w:szCs w:val="22"/>
        </w:rPr>
        <w:t xml:space="preserve">Fund Recommender: Rule-based system mapping risk appetite (Low/Moderate/High) to top 3 funds by Sharpe ratio within matching risk grade.</w:t>
      </w:r>
    </w:p>
    <w:p>
      <w:pPr>
        <w:pStyle w:val="ListParagraph"/>
        <w:numPr>
          <w:ilvl w:val="0"/>
          <w:numId w:val="2"/>
        </w:numPr>
        <w:spacing w:after="60" w:before="60"/>
      </w:pPr>
      <w:r>
        <w:rPr>
          <w:rFonts w:ascii="Arial" w:cs="Arial" w:eastAsia="Arial" w:hAnsi="Arial"/>
          <w:sz w:val="22"/>
          <w:szCs w:val="22"/>
        </w:rPr>
        <w:t xml:space="preserve">Sector HHI Concentration: Herfindahl-Hirschman Index computed for each equity fund portfolio — sectoral/thematic funds score highest (2,200-2,800), indicating concentrated bets vs diversified funds (1,200-1,500).</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11. Limitations &amp; Recommendations</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Current Limitations</w:t>
      </w:r>
    </w:p>
    <w:p>
      <w:pPr>
        <w:pStyle w:val="ListParagraph"/>
        <w:numPr>
          <w:ilvl w:val="0"/>
          <w:numId w:val="2"/>
        </w:numPr>
        <w:spacing w:after="60" w:before="60"/>
      </w:pPr>
      <w:r>
        <w:rPr>
          <w:rFonts w:ascii="Arial" w:cs="Arial" w:eastAsia="Arial" w:hAnsi="Arial"/>
          <w:sz w:val="22"/>
          <w:szCs w:val="22"/>
        </w:rPr>
        <w:t xml:space="preserve">Historical data dependency: All analytics are backward-looking; past NAV performance does not guarantee future returns.</w:t>
      </w:r>
    </w:p>
    <w:p>
      <w:pPr>
        <w:pStyle w:val="ListParagraph"/>
        <w:numPr>
          <w:ilvl w:val="0"/>
          <w:numId w:val="2"/>
        </w:numPr>
        <w:spacing w:after="60" w:before="60"/>
      </w:pPr>
      <w:r>
        <w:rPr>
          <w:rFonts w:ascii="Arial" w:cs="Arial" w:eastAsia="Arial" w:hAnsi="Arial"/>
          <w:sz w:val="22"/>
          <w:szCs w:val="22"/>
        </w:rPr>
        <w:t xml:space="preserve">Tax exclusion: Return calculations do not incorporate LTCG (10% above Rs.1L) or STCG (15%) tax implications, which would reduce net investor returns.</w:t>
      </w:r>
    </w:p>
    <w:p>
      <w:pPr>
        <w:pStyle w:val="ListParagraph"/>
        <w:numPr>
          <w:ilvl w:val="0"/>
          <w:numId w:val="2"/>
        </w:numPr>
        <w:spacing w:after="60" w:before="60"/>
      </w:pPr>
      <w:r>
        <w:rPr>
          <w:rFonts w:ascii="Arial" w:cs="Arial" w:eastAsia="Arial" w:hAnsi="Arial"/>
          <w:sz w:val="22"/>
          <w:szCs w:val="22"/>
        </w:rPr>
        <w:t xml:space="preserve">AUM proxies: Scheme-level AUM is estimated from fund house totals and scheme count; actual scheme-level AUM from AMFI disclosures would improve accuracy.</w:t>
      </w:r>
    </w:p>
    <w:p>
      <w:pPr>
        <w:pStyle w:val="ListParagraph"/>
        <w:numPr>
          <w:ilvl w:val="0"/>
          <w:numId w:val="2"/>
        </w:numPr>
        <w:spacing w:after="60" w:before="60"/>
      </w:pPr>
      <w:r>
        <w:rPr>
          <w:rFonts w:ascii="Arial" w:cs="Arial" w:eastAsia="Arial" w:hAnsi="Arial"/>
          <w:sz w:val="22"/>
          <w:szCs w:val="22"/>
        </w:rPr>
        <w:t xml:space="preserve">Simulated transactions: The 32,778 investor transactions are synthetic but statistically anchored to real AMFI demographic distributions.</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Recommendations</w:t>
      </w:r>
    </w:p>
    <w:p>
      <w:pPr>
        <w:pStyle w:val="ListParagraph"/>
        <w:numPr>
          <w:ilvl w:val="0"/>
          <w:numId w:val="2"/>
        </w:numPr>
        <w:spacing w:after="60" w:before="60"/>
      </w:pPr>
      <w:r>
        <w:rPr>
          <w:rFonts w:ascii="Arial" w:cs="Arial" w:eastAsia="Arial" w:hAnsi="Arial"/>
          <w:sz w:val="22"/>
          <w:szCs w:val="22"/>
        </w:rPr>
        <w:t xml:space="preserve">Implement real-time NAV polling from mfapi.in using a scheduled cron job (Bonus Challenge B1) to keep the dashboard live.</w:t>
      </w:r>
    </w:p>
    <w:p>
      <w:pPr>
        <w:pStyle w:val="ListParagraph"/>
        <w:numPr>
          <w:ilvl w:val="0"/>
          <w:numId w:val="2"/>
        </w:numPr>
        <w:spacing w:after="60" w:before="60"/>
      </w:pPr>
      <w:r>
        <w:rPr>
          <w:rFonts w:ascii="Arial" w:cs="Arial" w:eastAsia="Arial" w:hAnsi="Arial"/>
          <w:sz w:val="22"/>
          <w:szCs w:val="22"/>
        </w:rPr>
        <w:t xml:space="preserve">Build a Streamlit web application as an investor-facing alternative to the Power BI desktop dashboard.</w:t>
      </w:r>
    </w:p>
    <w:p>
      <w:pPr>
        <w:pStyle w:val="ListParagraph"/>
        <w:numPr>
          <w:ilvl w:val="0"/>
          <w:numId w:val="2"/>
        </w:numPr>
        <w:spacing w:after="60" w:before="60"/>
      </w:pPr>
      <w:r>
        <w:rPr>
          <w:rFonts w:ascii="Arial" w:cs="Arial" w:eastAsia="Arial" w:hAnsi="Arial"/>
          <w:sz w:val="22"/>
          <w:szCs w:val="22"/>
        </w:rPr>
        <w:t xml:space="preserve">Add Monte Carlo simulation projecting NAV growth over 5 years with uncertainty bands for scenario planning.</w:t>
      </w:r>
    </w:p>
    <w:p>
      <w:pPr>
        <w:pStyle w:val="ListParagraph"/>
        <w:numPr>
          <w:ilvl w:val="0"/>
          <w:numId w:val="2"/>
        </w:numPr>
        <w:spacing w:after="60" w:before="60"/>
      </w:pPr>
      <w:r>
        <w:rPr>
          <w:rFonts w:ascii="Arial" w:cs="Arial" w:eastAsia="Arial" w:hAnsi="Arial"/>
          <w:sz w:val="22"/>
          <w:szCs w:val="22"/>
        </w:rPr>
        <w:t xml:space="preserve">Incorporate Markowitz Efficient Frontier optimisation for 5-fund portfolio construction.</w:t>
      </w:r>
    </w:p>
    <w:p>
      <w:pPr>
        <w:pStyle w:val="ListParagraph"/>
        <w:numPr>
          <w:ilvl w:val="0"/>
          <w:numId w:val="2"/>
        </w:numPr>
        <w:spacing w:after="60" w:before="60"/>
      </w:pPr>
      <w:r>
        <w:rPr>
          <w:rFonts w:ascii="Arial" w:cs="Arial" w:eastAsia="Arial" w:hAnsi="Arial"/>
          <w:sz w:val="22"/>
          <w:szCs w:val="22"/>
        </w:rPr>
        <w:t xml:space="preserve">Add ESG ratings and sustainability scores as an additional dimension for fund evaluation.</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12. Conclusion</w:t>
      </w:r>
    </w:p>
    <w:p>
      <w:pPr>
        <w:spacing w:after="80" w:before="80"/>
      </w:pPr>
      <w:r>
        <w:rPr>
          <w:rFonts w:ascii="Arial" w:cs="Arial" w:eastAsia="Arial" w:hAnsi="Arial"/>
          <w:sz w:val="22"/>
          <w:szCs w:val="22"/>
        </w:rPr>
        <w:t xml:space="preserve">The Bluestock MF Analytics Platform successfully transforms raw financial data into actionable investment intelligence. By building a complete data engineering pipeline — from automated ingestion through AMFI and mfapi.in, to a normalised SQLite star schema, to advanced risk analytics and interactive Power BI dashboards — this capstone demonstrates the full range of skills required of a modern data analyst in the fintech domain.</w:t>
      </w:r>
    </w:p>
    <w:p>
      <w:pPr>
        <w:spacing w:after="100" w:before="100"/>
      </w:pPr>
      <w:r>
        <w:t xml:space="preserve"/>
      </w:r>
    </w:p>
    <w:p>
      <w:pPr>
        <w:spacing w:after="80" w:before="80"/>
      </w:pPr>
      <w:r>
        <w:rPr>
          <w:rFonts w:ascii="Arial" w:cs="Arial" w:eastAsia="Arial" w:hAnsi="Arial"/>
          <w:sz w:val="22"/>
          <w:szCs w:val="22"/>
        </w:rPr>
        <w:t xml:space="preserve">The platform surfaces key insights including the historic SIP growth trajectory (Rs.31,002 Crore milestone), the dominance of SBI MF in AUM, the strong outperformance of mid and small cap funds during 2023-2025, and the rapid financial inclusion of B30 cities. The Bluestock Fund Scorecard provides a transparent, multi-factor framework for comparing funds across risk, return, cost, and downside protection dimensions.</w:t>
      </w:r>
    </w:p>
    <w:p>
      <w:pPr>
        <w:spacing w:after="100" w:before="100"/>
      </w:pPr>
      <w:r>
        <w:t xml:space="preserve"/>
      </w:r>
    </w:p>
    <w:p>
      <w:pPr>
        <w:spacing w:after="80" w:before="80"/>
      </w:pPr>
      <w:r>
        <w:rPr>
          <w:rFonts w:ascii="Arial" w:cs="Arial" w:eastAsia="Arial" w:hAnsi="Arial"/>
          <w:sz w:val="22"/>
          <w:szCs w:val="22"/>
        </w:rPr>
        <w:t xml:space="preserve">This project demonstrates proficiency in Python data engineering, SQL database design, financial analytics, data visualisation, and business intelligence dashboarding — core competencies for a career in fintech analytics.</w:t>
      </w:r>
    </w:p>
    <w:p>
      <w:pPr>
        <w:spacing w:after="100" w:before="100"/>
      </w:pPr>
      <w:r>
        <w:t xml:space="preserve"/>
      </w:r>
    </w:p>
    <w:p>
      <w:pPr>
        <w:spacing w:after="100" w:before="100"/>
      </w:pPr>
      <w:r>
        <w:t xml:space="preserve"/>
      </w:r>
    </w:p>
    <w:p>
      <w:pPr>
        <w:pBdr>
          <w:top w:val="single" w:color="2E75B6" w:sz="4" w:space="8"/>
        </w:pBdr>
        <w:spacing w:after="80" w:before="200"/>
        <w:jc w:val="center"/>
      </w:pPr>
      <w:r>
        <w:rPr>
          <w:rFonts w:ascii="Arial" w:cs="Arial" w:eastAsia="Arial" w:hAnsi="Arial"/>
          <w:i/>
          <w:iCs/>
          <w:color w:val="888888"/>
          <w:sz w:val="20"/>
          <w:szCs w:val="20"/>
        </w:rPr>
        <w:t xml:space="preserve">Bluestock Fintech Pvt. Ltd.  |  Capstone Submission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Bluestock MF Analytics Platform  |  Capstone Report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2026-06-17T03:36:54.303Z</dcterms:created>
  <dcterms:modified xsi:type="dcterms:W3CDTF">2026-06-17T03:36:54.303Z</dcterms:modified>
</cp:coreProperties>
</file>

<file path=docProps/custom.xml><?xml version="1.0" encoding="utf-8"?>
<Properties xmlns="http://schemas.openxmlformats.org/officeDocument/2006/custom-properties" xmlns:vt="http://schemas.openxmlformats.org/officeDocument/2006/docPropsVTypes"/>
</file>