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DAEDF7">
      <w:pPr>
        <w:pStyle w:val="31"/>
        <w:rPr>
          <w:rFonts w:hint="default" w:ascii="爱奇艺黑体" w:hAnsi="爱奇艺黑体" w:cs="爱奇艺黑体"/>
          <w:b w:val="0"/>
          <w:bCs w:val="0"/>
          <w:lang w:val="en-US"/>
        </w:rPr>
      </w:pPr>
      <w:r>
        <w:rPr>
          <w:rFonts w:hint="eastAsia" w:ascii="爱奇艺黑体" w:hAnsi="爱奇艺黑体" w:eastAsia="宋体" w:cs="爱奇艺黑体"/>
          <w:b w:val="0"/>
          <w:bCs w:val="0"/>
          <w:lang w:val="en-US" w:eastAsia="zh-CN"/>
        </w:rPr>
        <w:t>修茈科技AI软件服务合同</w:t>
      </w:r>
    </w:p>
    <w:p w14:paraId="08A49142">
      <w:pPr>
        <w:pStyle w:val="3"/>
        <w:spacing w:line="360" w:lineRule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color w:val="000000"/>
          <w:sz w:val="28"/>
          <w:szCs w:val="28"/>
        </w:rPr>
        <w:t>一、合同双方</w:t>
      </w:r>
    </w:p>
    <w:p w14:paraId="1B02EF8A">
      <w:pPr>
        <w:spacing w:after="120" w:line="360" w:lineRule="auto"/>
        <w:rPr>
          <w:rFonts w:hint="default" w:ascii="黑体" w:hAnsi="黑体" w:eastAsia="黑体" w:cs="黑体"/>
          <w:sz w:val="22"/>
          <w:szCs w:val="22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2"/>
        </w:rPr>
        <w:t>甲方（服务购买方）：</w:t>
      </w: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>惠州市玲居科技有限公司</w:t>
      </w:r>
    </w:p>
    <w:p w14:paraId="0D4DA804">
      <w:pPr>
        <w:spacing w:after="120" w:line="360" w:lineRule="auto"/>
        <w:rPr>
          <w:rFonts w:hint="eastAsia"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统一社会信用代码：</w:t>
      </w: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 xml:space="preserve">91441381MAC3MPWF64                                    </w:t>
      </w:r>
    </w:p>
    <w:p w14:paraId="4051F8AE">
      <w:pPr>
        <w:spacing w:after="120" w:line="360" w:lineRule="auto"/>
        <w:rPr>
          <w:rFonts w:hint="eastAsia" w:ascii="黑体" w:hAnsi="黑体" w:eastAsia="黑体" w:cs="黑体"/>
          <w:sz w:val="22"/>
          <w:szCs w:val="22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2"/>
        </w:rPr>
        <w:t>地址：</w:t>
      </w: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 xml:space="preserve">惠州大亚湾西区龙海二路288号东岸花园2栋03号房                                    </w:t>
      </w:r>
    </w:p>
    <w:p w14:paraId="2E786D2C">
      <w:pPr>
        <w:spacing w:after="120" w:line="360" w:lineRule="auto"/>
        <w:rPr>
          <w:rFonts w:hint="eastAsia"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 xml:space="preserve">                 </w:t>
      </w:r>
    </w:p>
    <w:p w14:paraId="5A8BE1C4">
      <w:pPr>
        <w:spacing w:after="120" w:line="360" w:lineRule="auto"/>
        <w:rPr>
          <w:rFonts w:hint="eastAsia" w:ascii="黑体" w:hAnsi="黑体" w:eastAsia="黑体" w:cs="黑体"/>
          <w:sz w:val="22"/>
          <w:szCs w:val="22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2"/>
        </w:rPr>
        <w:t>法</w:t>
      </w: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 xml:space="preserve"> </w:t>
      </w:r>
      <w:bookmarkStart w:id="0" w:name="_GoBack"/>
      <w:bookmarkEnd w:id="0"/>
      <w:r>
        <w:rPr>
          <w:rFonts w:hint="eastAsia" w:ascii="黑体" w:hAnsi="黑体" w:eastAsia="黑体" w:cs="黑体"/>
          <w:sz w:val="22"/>
          <w:szCs w:val="22"/>
        </w:rPr>
        <w:t>定代表人：</w:t>
      </w: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 xml:space="preserve">    戴巧玲     </w:t>
      </w:r>
      <w:r>
        <w:rPr>
          <w:rFonts w:hint="eastAsia" w:ascii="黑体" w:hAnsi="黑体" w:eastAsia="黑体" w:cs="黑体"/>
          <w:sz w:val="22"/>
          <w:szCs w:val="22"/>
        </w:rPr>
        <w:t>联系人：</w:t>
      </w: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 xml:space="preserve">   戴巧玲         </w:t>
      </w:r>
      <w:r>
        <w:rPr>
          <w:rFonts w:hint="eastAsia" w:ascii="黑体" w:hAnsi="黑体" w:eastAsia="黑体" w:cs="黑体"/>
          <w:sz w:val="22"/>
          <w:szCs w:val="22"/>
        </w:rPr>
        <w:t>联系电话：</w:t>
      </w: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 xml:space="preserve">13531631898       </w:t>
      </w:r>
    </w:p>
    <w:p w14:paraId="66EDEF1D">
      <w:pPr>
        <w:spacing w:after="120" w:line="360" w:lineRule="auto"/>
        <w:rPr>
          <w:rFonts w:hint="eastAsia"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 xml:space="preserve">     </w:t>
      </w:r>
    </w:p>
    <w:p w14:paraId="43E3C1DC">
      <w:pPr>
        <w:spacing w:after="120" w:line="360" w:lineRule="auto"/>
        <w:rPr>
          <w:rFonts w:hint="eastAsia"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乙方（AI服务提供方）：成都修茈科技有限公司</w:t>
      </w:r>
    </w:p>
    <w:p w14:paraId="620B3FA1">
      <w:pPr>
        <w:spacing w:after="120" w:line="360" w:lineRule="auto"/>
        <w:rPr>
          <w:rFonts w:hint="eastAsia"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统一社会信用代码：91510100MAEUUDXP3J</w:t>
      </w: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 xml:space="preserve">                                       </w:t>
      </w:r>
    </w:p>
    <w:p w14:paraId="2C94AA8A">
      <w:pPr>
        <w:spacing w:after="120" w:line="360" w:lineRule="auto"/>
        <w:rPr>
          <w:rFonts w:hint="eastAsia"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地址：中国（四川）自由贸易试验区成都高新区和乐一街888号14栋1单元16楼1605号</w:t>
      </w: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 xml:space="preserve">            </w:t>
      </w:r>
    </w:p>
    <w:p w14:paraId="56AD6BBF">
      <w:pPr>
        <w:spacing w:after="120" w:line="360" w:lineRule="auto"/>
        <w:rPr>
          <w:rFonts w:hint="eastAsia" w:ascii="黑体" w:hAnsi="黑体" w:eastAsia="黑体" w:cs="黑体"/>
          <w:sz w:val="22"/>
          <w:szCs w:val="22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2"/>
        </w:rPr>
        <w:t>法定代表人：</w:t>
      </w: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 xml:space="preserve">    李佳泷     </w:t>
      </w:r>
      <w:r>
        <w:rPr>
          <w:rFonts w:hint="eastAsia" w:ascii="黑体" w:hAnsi="黑体" w:eastAsia="黑体" w:cs="黑体"/>
          <w:sz w:val="22"/>
          <w:szCs w:val="22"/>
        </w:rPr>
        <w:t>联系人：</w:t>
      </w: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 xml:space="preserve">   李佳泷        </w:t>
      </w:r>
      <w:r>
        <w:rPr>
          <w:rFonts w:hint="eastAsia" w:ascii="黑体" w:hAnsi="黑体" w:eastAsia="黑体" w:cs="黑体"/>
          <w:sz w:val="22"/>
          <w:szCs w:val="22"/>
        </w:rPr>
        <w:t>联系电话：</w:t>
      </w: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 xml:space="preserve">19581722852        </w:t>
      </w:r>
    </w:p>
    <w:p w14:paraId="406055EB">
      <w:pPr>
        <w:spacing w:after="120" w:line="360" w:lineRule="auto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 xml:space="preserve"> </w:t>
      </w:r>
    </w:p>
    <w:p w14:paraId="1104658D">
      <w:pPr>
        <w:pStyle w:val="3"/>
        <w:bidi w:val="0"/>
        <w:spacing w:line="360" w:lineRule="auto"/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eastAsia="zh-CN"/>
        </w:rPr>
        <w:t>二</w:t>
      </w:r>
      <w:r>
        <w:rPr>
          <w:rFonts w:hint="eastAsia"/>
          <w:color w:val="auto"/>
          <w:sz w:val="28"/>
          <w:szCs w:val="28"/>
        </w:rPr>
        <w:t>、</w:t>
      </w:r>
      <w:r>
        <w:rPr>
          <w:rFonts w:hint="eastAsia"/>
          <w:color w:val="auto"/>
          <w:sz w:val="28"/>
          <w:szCs w:val="28"/>
          <w:lang w:val="en-US" w:eastAsia="zh-CN"/>
        </w:rPr>
        <w:t>服务内容和范围</w:t>
      </w:r>
    </w:p>
    <w:p w14:paraId="014C6F92">
      <w:pPr>
        <w:spacing w:after="120" w:line="360" w:lineRule="auto"/>
        <w:rPr>
          <w:rFonts w:hint="eastAsia"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1. 乙方根据本合同约定，为甲方提供AI技术服务，具体包括但不限于：AI</w:t>
      </w: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>办公</w:t>
      </w:r>
      <w:r>
        <w:rPr>
          <w:rFonts w:hint="eastAsia" w:ascii="黑体" w:hAnsi="黑体" w:eastAsia="黑体" w:cs="黑体"/>
          <w:sz w:val="22"/>
          <w:szCs w:val="22"/>
        </w:rPr>
        <w:t>训练、算法优化、数据处理、系统集成等。</w:t>
      </w:r>
    </w:p>
    <w:p w14:paraId="379AF8FE">
      <w:pPr>
        <w:spacing w:after="120" w:line="360" w:lineRule="auto"/>
        <w:rPr>
          <w:rFonts w:hint="eastAsia"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2. 乙方应在本合同约定的服务期限内，按照双方确认的技术方案、服务标准及交付清单完成服务。</w:t>
      </w:r>
    </w:p>
    <w:p w14:paraId="378E53C3">
      <w:pPr>
        <w:spacing w:after="120" w:line="360" w:lineRule="auto"/>
        <w:rPr>
          <w:rFonts w:hint="eastAsia"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3. 双方应另行</w:t>
      </w: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>阅读</w:t>
      </w:r>
      <w:r>
        <w:rPr>
          <w:rFonts w:hint="eastAsia" w:ascii="黑体" w:hAnsi="黑体" w:eastAsia="黑体" w:cs="黑体"/>
          <w:sz w:val="22"/>
          <w:szCs w:val="22"/>
        </w:rPr>
        <w:t>《工作说明书》或附件，以明确具体服务内容、技术指标、交付成果及验收标准。</w:t>
      </w:r>
    </w:p>
    <w:p w14:paraId="2CBE564C">
      <w:pPr>
        <w:pStyle w:val="3"/>
        <w:spacing w:line="360" w:lineRule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color w:val="000000"/>
          <w:sz w:val="28"/>
          <w:szCs w:val="28"/>
        </w:rPr>
        <w:t>三、服务期限</w:t>
      </w:r>
    </w:p>
    <w:p w14:paraId="01983239">
      <w:pPr>
        <w:spacing w:after="120" w:line="360" w:lineRule="auto"/>
        <w:rPr>
          <w:rFonts w:hint="eastAsia"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1. 本合同服务期限自</w:t>
      </w: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>2026</w:t>
      </w:r>
      <w:r>
        <w:rPr>
          <w:rFonts w:hint="eastAsia" w:ascii="黑体" w:hAnsi="黑体" w:eastAsia="黑体" w:cs="黑体"/>
          <w:sz w:val="22"/>
          <w:szCs w:val="22"/>
        </w:rPr>
        <w:t>年</w:t>
      </w: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>04</w:t>
      </w:r>
      <w:r>
        <w:rPr>
          <w:rFonts w:hint="eastAsia" w:ascii="黑体" w:hAnsi="黑体" w:eastAsia="黑体" w:cs="黑体"/>
          <w:sz w:val="22"/>
          <w:szCs w:val="22"/>
        </w:rPr>
        <w:t>月</w:t>
      </w: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>27</w:t>
      </w:r>
      <w:r>
        <w:rPr>
          <w:rFonts w:hint="eastAsia" w:ascii="黑体" w:hAnsi="黑体" w:eastAsia="黑体" w:cs="黑体"/>
          <w:sz w:val="22"/>
          <w:szCs w:val="22"/>
        </w:rPr>
        <w:t>日起至</w:t>
      </w: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>2027</w:t>
      </w:r>
      <w:r>
        <w:rPr>
          <w:rFonts w:hint="eastAsia" w:ascii="黑体" w:hAnsi="黑体" w:eastAsia="黑体" w:cs="黑体"/>
          <w:sz w:val="22"/>
          <w:szCs w:val="22"/>
        </w:rPr>
        <w:t>年</w:t>
      </w: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>04</w:t>
      </w:r>
      <w:r>
        <w:rPr>
          <w:rFonts w:hint="eastAsia" w:ascii="黑体" w:hAnsi="黑体" w:eastAsia="黑体" w:cs="黑体"/>
          <w:sz w:val="22"/>
          <w:szCs w:val="22"/>
        </w:rPr>
        <w:t>月</w:t>
      </w: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>27</w:t>
      </w:r>
      <w:r>
        <w:rPr>
          <w:rFonts w:hint="eastAsia" w:ascii="黑体" w:hAnsi="黑体" w:eastAsia="黑体" w:cs="黑体"/>
          <w:sz w:val="22"/>
          <w:szCs w:val="22"/>
        </w:rPr>
        <w:t>日止。</w:t>
      </w:r>
    </w:p>
    <w:p w14:paraId="19C082A0">
      <w:pPr>
        <w:spacing w:after="120" w:line="360" w:lineRule="auto"/>
        <w:rPr>
          <w:rFonts w:hint="eastAsia"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2. 如任何一方需提前终止合同，应提前三十（30）日书面通知对方，并按本合同相关约定处理。</w:t>
      </w:r>
    </w:p>
    <w:p w14:paraId="18549060">
      <w:pPr>
        <w:pStyle w:val="3"/>
        <w:spacing w:line="360" w:lineRule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28"/>
          <w:szCs w:val="28"/>
        </w:rPr>
        <w:t>四、</w:t>
      </w:r>
      <w:r>
        <w:rPr>
          <w:rFonts w:hint="eastAsia" w:ascii="黑体" w:hAnsi="黑体" w:eastAsia="黑体" w:cs="黑体"/>
          <w:color w:val="000000"/>
          <w:sz w:val="28"/>
          <w:szCs w:val="28"/>
          <w:lang w:val="en-US" w:eastAsia="zh-CN"/>
        </w:rPr>
        <w:t>服务费用和支付方式</w:t>
      </w:r>
    </w:p>
    <w:p w14:paraId="63A59BD1">
      <w:pPr>
        <w:spacing w:after="120" w:line="360" w:lineRule="auto"/>
        <w:rPr>
          <w:rFonts w:hint="eastAsia"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1. 本合同项下服务费用总计为人民币 [</w:t>
      </w: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>10000</w:t>
      </w:r>
      <w:r>
        <w:rPr>
          <w:rFonts w:hint="eastAsia" w:ascii="黑体" w:hAnsi="黑体" w:eastAsia="黑体" w:cs="黑体"/>
          <w:sz w:val="22"/>
          <w:szCs w:val="22"/>
        </w:rPr>
        <w:t>] 元（大写：[</w:t>
      </w: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>壹万元整</w:t>
      </w:r>
      <w:r>
        <w:rPr>
          <w:rFonts w:hint="eastAsia" w:ascii="黑体" w:hAnsi="黑体" w:eastAsia="黑体" w:cs="黑体"/>
          <w:sz w:val="22"/>
          <w:szCs w:val="22"/>
        </w:rPr>
        <w:t>]）。该费用为含税价，已包含乙方为履行本合同所需的一切成本、费用及税费。</w:t>
      </w:r>
    </w:p>
    <w:p w14:paraId="43A63CEC">
      <w:pPr>
        <w:spacing w:after="120" w:line="360" w:lineRule="auto"/>
        <w:rPr>
          <w:rFonts w:hint="eastAsia"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2. 支付方式：甲方按以下节点向乙方支付服务费用：</w:t>
      </w:r>
    </w:p>
    <w:p w14:paraId="4D75DAD4">
      <w:pPr>
        <w:spacing w:after="120" w:line="360" w:lineRule="auto"/>
        <w:rPr>
          <w:rFonts w:hint="eastAsia"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（1）本合同生效后 [</w:t>
      </w: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>7</w:t>
      </w:r>
      <w:r>
        <w:rPr>
          <w:rFonts w:hint="eastAsia" w:ascii="黑体" w:hAnsi="黑体" w:eastAsia="黑体" w:cs="黑体"/>
          <w:sz w:val="22"/>
          <w:szCs w:val="22"/>
        </w:rPr>
        <w:t>] 个工作日内，支付合同总金额的 [</w:t>
      </w: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>30</w:t>
      </w:r>
      <w:r>
        <w:rPr>
          <w:rFonts w:hint="eastAsia" w:ascii="黑体" w:hAnsi="黑体" w:eastAsia="黑体" w:cs="黑体"/>
          <w:sz w:val="22"/>
          <w:szCs w:val="22"/>
        </w:rPr>
        <w:t>]%，即人民币 [</w:t>
      </w: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>3000</w:t>
      </w:r>
      <w:r>
        <w:rPr>
          <w:rFonts w:hint="eastAsia" w:ascii="黑体" w:hAnsi="黑体" w:eastAsia="黑体" w:cs="黑体"/>
          <w:sz w:val="22"/>
          <w:szCs w:val="22"/>
        </w:rPr>
        <w:t>] 元；</w:t>
      </w:r>
    </w:p>
    <w:p w14:paraId="2C28A28F">
      <w:pPr>
        <w:spacing w:after="120" w:line="360" w:lineRule="auto"/>
        <w:rPr>
          <w:rFonts w:hint="eastAsia"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（2）乙方完成 [具体里程碑，如：</w:t>
      </w: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>软件</w:t>
      </w:r>
      <w:r>
        <w:rPr>
          <w:rFonts w:hint="eastAsia" w:ascii="黑体" w:hAnsi="黑体" w:eastAsia="黑体" w:cs="黑体"/>
          <w:sz w:val="22"/>
          <w:szCs w:val="22"/>
        </w:rPr>
        <w:t>交付] 并经甲方书面确认后 [</w:t>
      </w: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>30</w:t>
      </w:r>
      <w:r>
        <w:rPr>
          <w:rFonts w:hint="eastAsia" w:ascii="黑体" w:hAnsi="黑体" w:eastAsia="黑体" w:cs="黑体"/>
          <w:sz w:val="22"/>
          <w:szCs w:val="22"/>
        </w:rPr>
        <w:t>] 个工作日内，支付合同总金额的 [</w:t>
      </w: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>50</w:t>
      </w:r>
      <w:r>
        <w:rPr>
          <w:rFonts w:hint="eastAsia" w:ascii="黑体" w:hAnsi="黑体" w:eastAsia="黑体" w:cs="黑体"/>
          <w:sz w:val="22"/>
          <w:szCs w:val="22"/>
        </w:rPr>
        <w:t>]%，即人民币 [</w:t>
      </w: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>5000</w:t>
      </w:r>
      <w:r>
        <w:rPr>
          <w:rFonts w:hint="eastAsia" w:ascii="黑体" w:hAnsi="黑体" w:eastAsia="黑体" w:cs="黑体"/>
          <w:sz w:val="22"/>
          <w:szCs w:val="22"/>
        </w:rPr>
        <w:t>] 元；</w:t>
      </w:r>
    </w:p>
    <w:p w14:paraId="7964F36A">
      <w:pPr>
        <w:spacing w:after="120" w:line="360" w:lineRule="auto"/>
        <w:rPr>
          <w:rFonts w:hint="eastAsia"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（3）全部服务成果最终验收合格后 [</w:t>
      </w: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>30</w:t>
      </w:r>
      <w:r>
        <w:rPr>
          <w:rFonts w:hint="eastAsia" w:ascii="黑体" w:hAnsi="黑体" w:eastAsia="黑体" w:cs="黑体"/>
          <w:sz w:val="22"/>
          <w:szCs w:val="22"/>
        </w:rPr>
        <w:t>] 个工作日内，支付剩余尾款，即人民币 [</w:t>
      </w: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>2000</w:t>
      </w:r>
      <w:r>
        <w:rPr>
          <w:rFonts w:hint="eastAsia" w:ascii="黑体" w:hAnsi="黑体" w:eastAsia="黑体" w:cs="黑体"/>
          <w:sz w:val="22"/>
          <w:szCs w:val="22"/>
        </w:rPr>
        <w:t>] 元。</w:t>
      </w:r>
    </w:p>
    <w:p w14:paraId="7483C33C">
      <w:pPr>
        <w:spacing w:after="120" w:line="360" w:lineRule="auto"/>
        <w:rPr>
          <w:rFonts w:hint="eastAsia"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3. 乙方应在收到每笔款项后 [</w:t>
      </w: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>30</w:t>
      </w:r>
      <w:r>
        <w:rPr>
          <w:rFonts w:hint="eastAsia" w:ascii="黑体" w:hAnsi="黑体" w:eastAsia="黑体" w:cs="黑体"/>
          <w:sz w:val="22"/>
          <w:szCs w:val="22"/>
        </w:rPr>
        <w:t>] 个工作日内，向甲方开具等额、合法、有效的增值税专用发票。甲方收到发票后安排付款。</w:t>
      </w:r>
    </w:p>
    <w:p w14:paraId="256D9472">
      <w:pPr>
        <w:pStyle w:val="3"/>
        <w:spacing w:line="360" w:lineRule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color w:val="000000"/>
          <w:sz w:val="28"/>
          <w:szCs w:val="28"/>
        </w:rPr>
        <w:t>五、知识产权</w:t>
      </w:r>
    </w:p>
    <w:p w14:paraId="464E4F2B">
      <w:pPr>
        <w:spacing w:after="120" w:line="360" w:lineRule="auto"/>
        <w:rPr>
          <w:rFonts w:hint="eastAsia"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1. 背景知识产权：双方各自拥有的、在履行本合同前已存在的知识产权（包括但不限于软件、算法、数据、文档等），仍归各自所有。</w:t>
      </w:r>
    </w:p>
    <w:p w14:paraId="67EFAF31">
      <w:pPr>
        <w:spacing w:after="120" w:line="360" w:lineRule="auto"/>
        <w:rPr>
          <w:rFonts w:hint="eastAsia"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2. 服务成果知识产权：</w:t>
      </w:r>
    </w:p>
    <w:p w14:paraId="4B0C45BF">
      <w:pPr>
        <w:spacing w:after="120" w:line="360" w:lineRule="auto"/>
        <w:rPr>
          <w:rFonts w:hint="eastAsia"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（1）乙方为履行本合同而独立开发、产生的服务成果（包括但不限于AI</w:t>
      </w: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>软件</w:t>
      </w:r>
      <w:r>
        <w:rPr>
          <w:rFonts w:hint="eastAsia" w:ascii="黑体" w:hAnsi="黑体" w:eastAsia="黑体" w:cs="黑体"/>
          <w:sz w:val="22"/>
          <w:szCs w:val="22"/>
        </w:rPr>
        <w:t>、算法、软件代码、技术文档等）的知识产权，归 [甲方/乙方/双方共有] 所有。具体归属约定如下：[请在此处明确约定，例如：归甲方所有，乙方享有署名权；或归双方共有，任何一方对外许可需经另一方书面同意]。</w:t>
      </w:r>
    </w:p>
    <w:p w14:paraId="60EA0C27">
      <w:pPr>
        <w:spacing w:after="120" w:line="360" w:lineRule="auto"/>
        <w:rPr>
          <w:rFonts w:hint="eastAsia"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（2）甲方为履行本合同而向乙方提供的原始数据、资料的知识产权及所有权，仍归甲方所有。乙方仅为履行本合同目的在约定范围内使用，未经甲方书面许可不得用于其他任何目的。</w:t>
      </w:r>
    </w:p>
    <w:p w14:paraId="4B527FDF">
      <w:pPr>
        <w:pStyle w:val="3"/>
        <w:spacing w:line="360" w:lineRule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color w:val="000000"/>
          <w:sz w:val="28"/>
          <w:szCs w:val="28"/>
        </w:rPr>
        <w:t>六、数据安全与保密</w:t>
      </w:r>
    </w:p>
    <w:p w14:paraId="1FAD6B4F">
      <w:pPr>
        <w:spacing w:after="120" w:line="360" w:lineRule="auto"/>
        <w:rPr>
          <w:rFonts w:hint="eastAsia"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1. 数据保护：乙方在处理甲方数据时，应采取符合行业标准的安全技术和管理措施，防止数据泄露、毁损、丢失。未经甲方书面授权，不得将甲方数据用于本合同约定之外的任何用途，亦不得向任何第三方提供。</w:t>
      </w:r>
    </w:p>
    <w:p w14:paraId="0ABFD7AB">
      <w:pPr>
        <w:spacing w:after="120" w:line="360" w:lineRule="auto"/>
        <w:rPr>
          <w:rFonts w:hint="eastAsia"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2. 保密义务：任何一方（“接收方”）对于在履行本合同过程中知悉的对方（“披露方”）的保密信息（包括但不限于技术信息、经营信息、数据、本合同内容等）均负有保密义务。未经披露方书面同意，接收方不得向任何第三方泄露，亦不得用于本合同目的之外的任何用途。此保密义务不因本合同的终止而失效。</w:t>
      </w:r>
    </w:p>
    <w:p w14:paraId="1C2C6FD9">
      <w:pPr>
        <w:spacing w:after="120" w:line="360" w:lineRule="auto"/>
        <w:rPr>
          <w:rFonts w:hint="eastAsia"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3. 安全措施：乙方应建立并执行严格的数据安全管理制度，确保其人员、系统、设备符合数据安全要求。如发生或可能发生数据安全事件，应立即通知甲方并采取补救措施。</w:t>
      </w:r>
    </w:p>
    <w:p w14:paraId="368B4DB9">
      <w:pPr>
        <w:pStyle w:val="3"/>
        <w:spacing w:line="360" w:lineRule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28"/>
          <w:szCs w:val="28"/>
          <w:lang w:val="en-US" w:eastAsia="zh-CN"/>
        </w:rPr>
        <w:t>七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、</w:t>
      </w:r>
      <w:r>
        <w:rPr>
          <w:rFonts w:hint="eastAsia" w:ascii="黑体" w:hAnsi="黑体" w:eastAsia="黑体" w:cs="黑体"/>
          <w:color w:val="000000"/>
          <w:sz w:val="28"/>
          <w:szCs w:val="28"/>
          <w:lang w:val="en-US" w:eastAsia="zh-CN"/>
        </w:rPr>
        <w:t>免责条款</w:t>
      </w:r>
    </w:p>
    <w:p w14:paraId="3BBFA225">
      <w:pPr>
        <w:spacing w:after="120" w:line="360" w:lineRule="auto"/>
        <w:rPr>
          <w:rFonts w:hint="eastAsia"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1. 不可抗力：因地震、台风、洪水、火灾、战争、罢工、政府行为等不可抗力因素导致合同无法履行的，受影响方应及时通知对方，并提供相关证明，可免除相应的违约责任。</w:t>
      </w:r>
    </w:p>
    <w:p w14:paraId="5B1D5707">
      <w:pPr>
        <w:spacing w:after="120" w:line="360" w:lineRule="auto"/>
        <w:rPr>
          <w:rFonts w:hint="eastAsia"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2. 技术风险：双方理解并确认，AI技术服务存在固有的技术不确定性和风险。因技术发展限制、数据质量、算法局限性等非乙方故意或重大过失导致的、在合理技术风险范围内的服务效果未达预期，乙方不承担违约责任，但应提供必要的技术支持以寻求改进。</w:t>
      </w:r>
    </w:p>
    <w:p w14:paraId="498B0E30">
      <w:pPr>
        <w:pStyle w:val="3"/>
        <w:spacing w:line="360" w:lineRule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color w:val="000000"/>
          <w:sz w:val="28"/>
          <w:szCs w:val="28"/>
          <w:lang w:val="en-US" w:eastAsia="zh-CN"/>
        </w:rPr>
        <w:t>八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、合同生效、变更与终止</w:t>
      </w:r>
    </w:p>
    <w:p w14:paraId="0DC2B126">
      <w:pPr>
        <w:spacing w:after="120" w:line="360" w:lineRule="auto"/>
        <w:rPr>
          <w:rFonts w:hint="eastAsia"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1. 生效：本合同自双方法定代表人或授权代表签字并加盖公司公章（或合同专用章）之日起生效。</w:t>
      </w:r>
    </w:p>
    <w:p w14:paraId="34198321">
      <w:pPr>
        <w:spacing w:after="120" w:line="360" w:lineRule="auto"/>
        <w:rPr>
          <w:rFonts w:hint="eastAsia"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2. 变更：对本合同的任何修改或补充，均须由双方协商一致并签订书面补充协议方为有效。补充协议与本合同具有同等法律效力。</w:t>
      </w:r>
    </w:p>
    <w:p w14:paraId="137F5332">
      <w:pPr>
        <w:spacing w:after="120" w:line="360" w:lineRule="auto"/>
        <w:rPr>
          <w:rFonts w:hint="eastAsia"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3. 终止：除本合同另有约定外，出现下列情形之一，本合同终止：（1）合同期限届满；（2）双方协商一致终止；（3）任何一方依据合同约定或法律规定行使单方解除权；（4）法律规定的其他终止情形。合同终止后，双方应依据本合同约定处理费用结算、资料返还、保密义务延续等后续事宜。</w:t>
      </w:r>
    </w:p>
    <w:p w14:paraId="5F3609BF">
      <w:pPr>
        <w:pStyle w:val="3"/>
        <w:spacing w:line="360" w:lineRule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color w:val="000000"/>
          <w:sz w:val="28"/>
          <w:szCs w:val="28"/>
          <w:lang w:val="en-US" w:eastAsia="zh-CN"/>
        </w:rPr>
        <w:t>九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、其他</w:t>
      </w:r>
    </w:p>
    <w:p w14:paraId="16663D14">
      <w:pPr>
        <w:spacing w:after="120" w:line="360" w:lineRule="auto"/>
        <w:rPr>
          <w:rFonts w:hint="eastAsia"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1. 通知与送达：本合同履行过程中，任何一方向对方发出的通知、文件，应以书面形式（包括但不限于电子邮件、传真、快递）送达以下地址。一方变更地址的，应及时书面通知对方。以下地址同时作为司法文书送达地址。</w:t>
      </w:r>
    </w:p>
    <w:p w14:paraId="10A01F89">
      <w:pPr>
        <w:spacing w:after="120" w:line="360" w:lineRule="auto"/>
        <w:rPr>
          <w:rFonts w:hint="eastAsia"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>甲方</w:t>
      </w:r>
      <w:r>
        <w:rPr>
          <w:rFonts w:hint="eastAsia" w:ascii="黑体" w:hAnsi="黑体" w:eastAsia="黑体" w:cs="黑体"/>
          <w:sz w:val="22"/>
          <w:szCs w:val="22"/>
        </w:rPr>
        <w:t>联系人：[</w:t>
      </w: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 xml:space="preserve">    戴巧玲    </w:t>
      </w:r>
      <w:r>
        <w:rPr>
          <w:rFonts w:hint="eastAsia" w:ascii="黑体" w:hAnsi="黑体" w:eastAsia="黑体" w:cs="黑体"/>
          <w:sz w:val="22"/>
          <w:szCs w:val="22"/>
        </w:rPr>
        <w:t>]，电话：[</w:t>
      </w: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 xml:space="preserve">        13531631898           </w:t>
      </w:r>
      <w:r>
        <w:rPr>
          <w:rFonts w:hint="eastAsia" w:ascii="黑体" w:hAnsi="黑体" w:eastAsia="黑体" w:cs="黑体"/>
          <w:sz w:val="22"/>
          <w:szCs w:val="22"/>
        </w:rPr>
        <w:t>]。</w:t>
      </w:r>
    </w:p>
    <w:p w14:paraId="6242F613">
      <w:pPr>
        <w:spacing w:after="120" w:line="360" w:lineRule="auto"/>
        <w:rPr>
          <w:rFonts w:hint="eastAsia"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乙方联系人：[</w:t>
      </w: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 xml:space="preserve">    李佳泷    </w:t>
      </w:r>
      <w:r>
        <w:rPr>
          <w:rFonts w:hint="eastAsia" w:ascii="黑体" w:hAnsi="黑体" w:eastAsia="黑体" w:cs="黑体"/>
          <w:sz w:val="22"/>
          <w:szCs w:val="22"/>
        </w:rPr>
        <w:t>]，电话：[</w:t>
      </w: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 xml:space="preserve">        19581722852           </w:t>
      </w:r>
      <w:r>
        <w:rPr>
          <w:rFonts w:hint="eastAsia" w:ascii="黑体" w:hAnsi="黑体" w:eastAsia="黑体" w:cs="黑体"/>
          <w:sz w:val="22"/>
          <w:szCs w:val="22"/>
        </w:rPr>
        <w:t>]。</w:t>
      </w:r>
    </w:p>
    <w:p w14:paraId="1B7F4724">
      <w:pPr>
        <w:spacing w:after="120" w:line="360" w:lineRule="auto"/>
        <w:rPr>
          <w:rFonts w:hint="eastAsia"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2. 本合同一式 [肆] 份，甲方执 [贰] 份，乙方执 [贰] 份，具有同等法律效力。</w:t>
      </w:r>
    </w:p>
    <w:p w14:paraId="7EF46436">
      <w:pPr>
        <w:spacing w:after="120" w:line="360" w:lineRule="auto"/>
        <w:rPr>
          <w:rFonts w:hint="eastAsia"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3. 本合同附件为本合同不可分割的组成部分，与本合同具有同等法律效力。</w:t>
      </w:r>
    </w:p>
    <w:p w14:paraId="67E6F1FF">
      <w:pPr>
        <w:spacing w:after="120" w:line="360" w:lineRule="auto"/>
        <w:rPr>
          <w:rFonts w:hint="eastAsia" w:ascii="黑体" w:hAnsi="黑体" w:eastAsia="黑体" w:cs="黑体"/>
          <w:sz w:val="22"/>
          <w:szCs w:val="22"/>
        </w:rPr>
      </w:pPr>
    </w:p>
    <w:p w14:paraId="00E371DA">
      <w:pPr>
        <w:spacing w:line="360" w:lineRule="auto"/>
        <w:rPr>
          <w:rFonts w:hint="eastAsia" w:ascii="黑体" w:hAnsi="黑体" w:eastAsia="黑体" w:cs="黑体"/>
          <w:sz w:val="22"/>
          <w:szCs w:val="22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2"/>
        </w:rPr>
        <w:t>甲方（盖章）：</w:t>
      </w: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 xml:space="preserve">                          </w:t>
      </w:r>
      <w:r>
        <w:rPr>
          <w:rFonts w:hint="eastAsia" w:ascii="黑体" w:hAnsi="黑体" w:eastAsia="黑体" w:cs="黑体"/>
          <w:sz w:val="22"/>
          <w:szCs w:val="22"/>
        </w:rPr>
        <w:t>乙方（盖章）：</w:t>
      </w: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 xml:space="preserve">                       </w:t>
      </w:r>
    </w:p>
    <w:p w14:paraId="75CB3900">
      <w:pPr>
        <w:spacing w:line="360" w:lineRule="auto"/>
        <w:rPr>
          <w:rFonts w:hint="eastAsia"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法定代表人（或授权代表）签字：</w:t>
      </w: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 xml:space="preserve">          </w:t>
      </w:r>
      <w:r>
        <w:rPr>
          <w:rFonts w:hint="eastAsia" w:ascii="黑体" w:hAnsi="黑体" w:eastAsia="黑体" w:cs="黑体"/>
          <w:sz w:val="22"/>
          <w:szCs w:val="22"/>
        </w:rPr>
        <w:t>法定代表人（或授权代表）签字：</w:t>
      </w:r>
    </w:p>
    <w:p w14:paraId="557679B9">
      <w:pPr>
        <w:spacing w:line="360" w:lineRule="auto"/>
        <w:rPr>
          <w:rFonts w:hint="eastAsia"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签署日期：</w:t>
      </w: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 xml:space="preserve">     </w:t>
      </w:r>
      <w:r>
        <w:rPr>
          <w:rFonts w:hint="eastAsia" w:ascii="黑体" w:hAnsi="黑体" w:eastAsia="黑体" w:cs="黑体"/>
          <w:sz w:val="22"/>
          <w:szCs w:val="22"/>
        </w:rPr>
        <w:t>年</w:t>
      </w: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 xml:space="preserve">     </w:t>
      </w:r>
      <w:r>
        <w:rPr>
          <w:rFonts w:hint="eastAsia" w:ascii="黑体" w:hAnsi="黑体" w:eastAsia="黑体" w:cs="黑体"/>
          <w:sz w:val="22"/>
          <w:szCs w:val="22"/>
        </w:rPr>
        <w:t>月</w:t>
      </w: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 xml:space="preserve">    </w:t>
      </w:r>
      <w:r>
        <w:rPr>
          <w:rFonts w:hint="eastAsia" w:ascii="黑体" w:hAnsi="黑体" w:eastAsia="黑体" w:cs="黑体"/>
          <w:sz w:val="22"/>
          <w:szCs w:val="22"/>
        </w:rPr>
        <w:t>日</w:t>
      </w: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 xml:space="preserve">          </w:t>
      </w:r>
      <w:r>
        <w:rPr>
          <w:rFonts w:hint="eastAsia" w:ascii="黑体" w:hAnsi="黑体" w:eastAsia="黑体" w:cs="黑体"/>
          <w:sz w:val="22"/>
          <w:szCs w:val="22"/>
        </w:rPr>
        <w:t>签署日期：</w:t>
      </w: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 xml:space="preserve">      </w:t>
      </w:r>
      <w:r>
        <w:rPr>
          <w:rFonts w:hint="eastAsia" w:ascii="黑体" w:hAnsi="黑体" w:eastAsia="黑体" w:cs="黑体"/>
          <w:sz w:val="22"/>
          <w:szCs w:val="22"/>
        </w:rPr>
        <w:t>年</w:t>
      </w: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 xml:space="preserve">     </w:t>
      </w:r>
      <w:r>
        <w:rPr>
          <w:rFonts w:hint="eastAsia" w:ascii="黑体" w:hAnsi="黑体" w:eastAsia="黑体" w:cs="黑体"/>
          <w:sz w:val="22"/>
          <w:szCs w:val="22"/>
        </w:rPr>
        <w:t>月</w:t>
      </w: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 xml:space="preserve">    </w:t>
      </w:r>
      <w:r>
        <w:rPr>
          <w:rFonts w:hint="eastAsia" w:ascii="黑体" w:hAnsi="黑体" w:eastAsia="黑体" w:cs="黑体"/>
          <w:sz w:val="22"/>
          <w:szCs w:val="22"/>
        </w:rPr>
        <w:t>日</w:t>
      </w:r>
    </w:p>
    <w:sectPr>
      <w:footerReference r:id="rId5" w:type="default"/>
      <w:pgSz w:w="12240" w:h="15840"/>
      <w:pgMar w:top="567" w:right="1134" w:bottom="567" w:left="1134" w:header="720" w:footer="720" w:gutter="0"/>
      <w:pgNumType w:fmt="decimal" w:start="1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爱奇艺黑体">
    <w:altName w:val="宋体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DA87DF">
    <w:pPr>
      <w:pStyle w:val="24"/>
    </w:pPr>
  </w:p>
  <w:p w14:paraId="0510FFB3">
    <w:pPr>
      <w:pStyle w:val="24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052F29C">
                          <w:pPr>
                            <w:pStyle w:val="2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052F29C">
                    <w:pPr>
                      <w:pStyle w:val="2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C003F0"/>
    <w:rsid w:val="49652797"/>
    <w:rsid w:val="55A725E9"/>
    <w:rsid w:val="5AFA5E4B"/>
    <w:rsid w:val="737D0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2004</Words>
  <Characters>2163</Characters>
  <Lines>0</Lines>
  <Paragraphs>0</Paragraphs>
  <TotalTime>15</TotalTime>
  <ScaleCrop>false</ScaleCrop>
  <LinksUpToDate>false</LinksUpToDate>
  <CharactersWithSpaces>2564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JC</cp:lastModifiedBy>
  <cp:lastPrinted>2026-04-27T13:31:15Z</cp:lastPrinted>
  <dcterms:modified xsi:type="dcterms:W3CDTF">2026-04-27T13:37:33Z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eyJoZGlkIjoiZDY4NDAyZjZiNDZlZmZlZDlkODBhZmY5YWE2YWMzYjEiLCJ1c2VySWQiOiIyNzU1NDE5MjkifQ==</vt:lpwstr>
  </property>
  <property fmtid="{D5CDD505-2E9C-101B-9397-08002B2CF9AE}" pid="3" name="KSOProductBuildVer">
    <vt:lpwstr>2052-12.1.0.25865</vt:lpwstr>
  </property>
  <property fmtid="{D5CDD505-2E9C-101B-9397-08002B2CF9AE}" pid="4" name="ICV">
    <vt:lpwstr>FBCF9DBAC491466CADDA82F425BAA4AE_13</vt:lpwstr>
  </property>
</Properties>
</file>