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B0AB1">
      <w:pPr>
        <w:spacing w:before="240" w:after="240"/>
        <w:jc w:val="center"/>
      </w:pPr>
      <w:r>
        <w:rPr>
          <w:rFonts w:ascii="黑体" w:hAnsi="黑体" w:eastAsia="黑体" w:cs="黑体"/>
          <w:b/>
          <w:bCs/>
          <w:color w:val="000000"/>
          <w:sz w:val="44"/>
          <w:szCs w:val="44"/>
        </w:rPr>
        <w:t>乐山科创产业投资（集团）有限公司</w:t>
      </w:r>
    </w:p>
    <w:p w14:paraId="573E543B">
      <w:pPr>
        <w:spacing w:before="480" w:after="240"/>
      </w:pPr>
    </w:p>
    <w:p w14:paraId="2B7BF010">
      <w:pPr>
        <w:spacing w:before="240" w:after="240"/>
        <w:jc w:val="center"/>
      </w:pPr>
      <w:r>
        <w:rPr>
          <w:rFonts w:ascii="黑体" w:hAnsi="黑体" w:eastAsia="黑体" w:cs="黑体"/>
          <w:b/>
          <w:bCs/>
          <w:color w:val="000000"/>
          <w:sz w:val="44"/>
          <w:szCs w:val="44"/>
        </w:rPr>
        <w:t>AI智能体建设需求报告</w:t>
      </w:r>
    </w:p>
    <w:p w14:paraId="18A3B80D">
      <w:pPr>
        <w:spacing w:before="720" w:after="720"/>
      </w:pPr>
    </w:p>
    <w:p w14:paraId="40472CE7">
      <w:r>
        <w:br w:type="page"/>
      </w:r>
    </w:p>
    <w:p w14:paraId="1BC54258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一、总体建设目标</w:t>
      </w:r>
    </w:p>
    <w:p w14:paraId="2EA8F7CA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为提升集团整体运营效率，降低人工重复劳动成本，实现数据驱动决策，现拟建设三套AI智能体系统：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1"/>
        <w:gridCol w:w="2843"/>
        <w:gridCol w:w="1225"/>
        <w:gridCol w:w="4133"/>
      </w:tblGrid>
      <w:tr w14:paraId="10F7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72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84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1F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智能体名称</w:t>
            </w:r>
          </w:p>
        </w:tc>
        <w:tc>
          <w:tcPr>
            <w:tcW w:w="1225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F1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对内/对外</w:t>
            </w:r>
          </w:p>
        </w:tc>
        <w:tc>
          <w:tcPr>
            <w:tcW w:w="413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9E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核心功能</w:t>
            </w:r>
          </w:p>
        </w:tc>
      </w:tr>
      <w:tr w14:paraId="0B02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3A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1</w:t>
            </w:r>
          </w:p>
        </w:tc>
        <w:tc>
          <w:tcPr>
            <w:tcW w:w="284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10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科创小助手（外部要闻版）</w:t>
            </w:r>
          </w:p>
        </w:tc>
        <w:tc>
          <w:tcPr>
            <w:tcW w:w="1225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3C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对外</w:t>
            </w:r>
          </w:p>
        </w:tc>
        <w:tc>
          <w:tcPr>
            <w:tcW w:w="413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DC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抓取外部政策、行业动态，生成每日简报</w:t>
            </w:r>
          </w:p>
        </w:tc>
      </w:tr>
      <w:tr w14:paraId="2013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68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59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2</w:t>
            </w:r>
          </w:p>
        </w:tc>
        <w:tc>
          <w:tcPr>
            <w:tcW w:w="284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7B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科创小助手（内部经营版）</w:t>
            </w:r>
          </w:p>
        </w:tc>
        <w:tc>
          <w:tcPr>
            <w:tcW w:w="1225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FD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对内</w:t>
            </w:r>
          </w:p>
        </w:tc>
        <w:tc>
          <w:tcPr>
            <w:tcW w:w="413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E3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整合内部业务数据，生成经营分析报告</w:t>
            </w:r>
          </w:p>
        </w:tc>
      </w:tr>
      <w:tr w14:paraId="6B686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EE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3</w:t>
            </w:r>
          </w:p>
        </w:tc>
        <w:tc>
          <w:tcPr>
            <w:tcW w:w="284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55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合同预审助手</w:t>
            </w:r>
          </w:p>
        </w:tc>
        <w:tc>
          <w:tcPr>
            <w:tcW w:w="1225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B5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对内</w:t>
            </w:r>
          </w:p>
        </w:tc>
        <w:tc>
          <w:tcPr>
            <w:tcW w:w="413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B1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基于法规制度库</w:t>
            </w:r>
            <w:bookmarkStart w:id="0" w:name="_GoBack"/>
            <w:bookmarkEnd w:id="0"/>
            <w:r>
              <w:rPr>
                <w:rFonts w:ascii="仿宋" w:hAnsi="仿宋" w:eastAsia="仿宋" w:cs="仿宋"/>
                <w:sz w:val="21"/>
                <w:szCs w:val="21"/>
              </w:rPr>
              <w:t>，对合同进行智能预审</w:t>
            </w:r>
          </w:p>
        </w:tc>
      </w:tr>
    </w:tbl>
    <w:p w14:paraId="3DAF081E">
      <w:pPr>
        <w:spacing w:before="24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三大智能体共用一个公司制度知识库作为基础支撑，实现知识共享与复用。</w:t>
      </w:r>
    </w:p>
    <w:p w14:paraId="178CA310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二、智能体一：科创小助手（外部要闻版）</w:t>
      </w:r>
    </w:p>
    <w:p w14:paraId="74332345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2.1 建设背景</w:t>
      </w:r>
    </w:p>
    <w:p w14:paraId="583F6C6E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集团董事长及各高层领导每日需掌握大量外部信息，包括宏观政策、行业动态、竞争对手动作、资本市场动向等。目前依赖人工检索整理，效率低、更新慢、信息碎片化。</w:t>
      </w:r>
    </w:p>
    <w:p w14:paraId="48863D24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2.2 目标用户</w:t>
      </w:r>
    </w:p>
    <w:p w14:paraId="37539DCE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董事长、总经理、各分管副总、投资总监。</w:t>
      </w:r>
    </w:p>
    <w:p w14:paraId="60BFD17B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2.3 数据来源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4"/>
        <w:gridCol w:w="5514"/>
        <w:gridCol w:w="1414"/>
      </w:tblGrid>
      <w:tr w14:paraId="423B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62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信息类别</w:t>
            </w:r>
          </w:p>
        </w:tc>
        <w:tc>
          <w:tcPr>
            <w:tcW w:w="55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DA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数据来源</w:t>
            </w:r>
          </w:p>
        </w:tc>
        <w:tc>
          <w:tcPr>
            <w:tcW w:w="14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4E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更新频率</w:t>
            </w:r>
          </w:p>
        </w:tc>
      </w:tr>
      <w:tr w14:paraId="59AFE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32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证监会政策</w:t>
            </w:r>
          </w:p>
        </w:tc>
        <w:tc>
          <w:tcPr>
            <w:tcW w:w="55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D9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证监会官网、Wind</w:t>
            </w:r>
          </w:p>
        </w:tc>
        <w:tc>
          <w:tcPr>
            <w:tcW w:w="14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81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实时</w:t>
            </w:r>
          </w:p>
        </w:tc>
      </w:tr>
      <w:tr w14:paraId="2ADC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8B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IPO动态</w:t>
            </w:r>
          </w:p>
        </w:tc>
        <w:tc>
          <w:tcPr>
            <w:tcW w:w="55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FD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沪深北交易所、证券时报、上海证券报</w:t>
            </w:r>
          </w:p>
        </w:tc>
        <w:tc>
          <w:tcPr>
            <w:tcW w:w="14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D5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每日</w:t>
            </w:r>
          </w:p>
        </w:tc>
      </w:tr>
      <w:tr w14:paraId="53B4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35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融资并购</w:t>
            </w:r>
          </w:p>
        </w:tc>
        <w:tc>
          <w:tcPr>
            <w:tcW w:w="55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FD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财联社、36氪、21世纪经济报道</w:t>
            </w:r>
          </w:p>
        </w:tc>
        <w:tc>
          <w:tcPr>
            <w:tcW w:w="14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3F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每日</w:t>
            </w:r>
          </w:p>
        </w:tc>
      </w:tr>
      <w:tr w14:paraId="1119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1B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行业政策</w:t>
            </w:r>
          </w:p>
        </w:tc>
        <w:tc>
          <w:tcPr>
            <w:tcW w:w="55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6A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四川省政府、国家能源局、工信部</w:t>
            </w:r>
          </w:p>
        </w:tc>
        <w:tc>
          <w:tcPr>
            <w:tcW w:w="14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D9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实时</w:t>
            </w:r>
          </w:p>
        </w:tc>
      </w:tr>
      <w:tr w14:paraId="7A5B5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40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竞争对手动态</w:t>
            </w:r>
          </w:p>
        </w:tc>
        <w:tc>
          <w:tcPr>
            <w:tcW w:w="55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71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成都产投、四川发展、川投集团等公开信息</w:t>
            </w:r>
          </w:p>
        </w:tc>
        <w:tc>
          <w:tcPr>
            <w:tcW w:w="14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87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每周</w:t>
            </w:r>
          </w:p>
        </w:tc>
      </w:tr>
      <w:tr w14:paraId="2E16F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F5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宏观经济</w:t>
            </w:r>
          </w:p>
        </w:tc>
        <w:tc>
          <w:tcPr>
            <w:tcW w:w="55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C4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国家统计局、央行</w:t>
            </w:r>
          </w:p>
        </w:tc>
        <w:tc>
          <w:tcPr>
            <w:tcW w:w="141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BD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定期</w:t>
            </w:r>
          </w:p>
        </w:tc>
      </w:tr>
    </w:tbl>
    <w:p w14:paraId="499B012C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2.4 报告生成规则</w:t>
      </w:r>
    </w:p>
    <w:p w14:paraId="6A24F08C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每日简报须包含以下板块：</w:t>
      </w:r>
    </w:p>
    <w:p w14:paraId="0FD54B01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第一板块：董事长重点关注（3-5条）</w:t>
      </w:r>
    </w:p>
    <w:p w14:paraId="2EC70376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从当日所有信息中筛选对集团战略影响最大的事项，每条包含：核心事件描述（不超过100字）、对集团的潜在影响分析、具体建议动作。</w:t>
      </w:r>
    </w:p>
    <w:p w14:paraId="44310B91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第二板块：IPO与上市资质动态</w:t>
      </w:r>
    </w:p>
    <w:p w14:paraId="6697997C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覆盖证监会最新政策解读、四川省内企业IPO动态、符合集团投资方向的潜在标的。每条包含来源日期、核心摘要、启示研判分析。</w:t>
      </w:r>
    </w:p>
    <w:p w14:paraId="3378C90B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第三板块：融资并购新动态</w:t>
      </w:r>
    </w:p>
    <w:p w14:paraId="5F4FAD6C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覆盖国资并购案例、产业并购事件、股权融资事件。</w:t>
      </w:r>
    </w:p>
    <w:p w14:paraId="58879FB9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第四板块：行业与政策要闻</w:t>
      </w:r>
    </w:p>
    <w:p w14:paraId="519A8DF2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覆盖四川省、乐山市地方政府政策，光伏、晶硅、电子信息等行业政策。</w:t>
      </w:r>
    </w:p>
    <w:p w14:paraId="3CAFEE48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第五板块：同类平台动态</w:t>
      </w:r>
    </w:p>
    <w:p w14:paraId="499B298A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关注同类型产业投资平台的资本运作、战略布局、产品创新。</w:t>
      </w:r>
    </w:p>
    <w:p w14:paraId="29587115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2.5 输出时间</w:t>
      </w:r>
    </w:p>
    <w:p w14:paraId="44B71921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每日早上8:30前自动生成并推送至指定接收人。</w:t>
      </w:r>
    </w:p>
    <w:p w14:paraId="2ACC0AF5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2.6 功能清单</w:t>
      </w:r>
    </w:p>
    <w:tbl>
      <w:tblPr>
        <w:tblStyle w:val="11"/>
        <w:tblW w:w="80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7"/>
        <w:gridCol w:w="1976"/>
        <w:gridCol w:w="4608"/>
      </w:tblGrid>
      <w:tr w14:paraId="481C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2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92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一级功能</w:t>
            </w:r>
          </w:p>
        </w:tc>
        <w:tc>
          <w:tcPr>
            <w:tcW w:w="197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46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二级功能</w:t>
            </w: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EF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三级功能</w:t>
            </w:r>
          </w:p>
        </w:tc>
      </w:tr>
      <w:tr w14:paraId="1C74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8B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数据采集</w:t>
            </w:r>
          </w:p>
        </w:tc>
        <w:tc>
          <w:tcPr>
            <w:tcW w:w="1976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6A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政策数据采集</w:t>
            </w: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AE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证监会、交易所官网政策爬取</w:t>
            </w:r>
          </w:p>
        </w:tc>
      </w:tr>
      <w:tr w14:paraId="1E0D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35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31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D6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地方政府官网政策采集</w:t>
            </w:r>
          </w:p>
        </w:tc>
      </w:tr>
      <w:tr w14:paraId="531A5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BE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28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34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工信部、国家能源局等部委数据</w:t>
            </w:r>
          </w:p>
        </w:tc>
      </w:tr>
      <w:tr w14:paraId="1CD8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E1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97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新闻数据采集</w:t>
            </w: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97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财联社、证券时报等媒体接口对接</w:t>
            </w:r>
          </w:p>
        </w:tc>
      </w:tr>
      <w:tr w14:paraId="76A3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8E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AF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BA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36氪、21世纪经济报道等内容抓取</w:t>
            </w:r>
          </w:p>
        </w:tc>
      </w:tr>
      <w:tr w14:paraId="7A07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81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F3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E6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竞品动态关键词监控与采集</w:t>
            </w:r>
          </w:p>
        </w:tc>
      </w:tr>
      <w:tr w14:paraId="0E6D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15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报告生成</w:t>
            </w:r>
          </w:p>
        </w:tc>
        <w:tc>
          <w:tcPr>
            <w:tcW w:w="1976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E8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内容筛选</w:t>
            </w: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52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基于关键词与权重的重点信息筛选</w:t>
            </w:r>
          </w:p>
        </w:tc>
      </w:tr>
      <w:tr w14:paraId="0C5E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B8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86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75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董事长关注版块智能生成</w:t>
            </w:r>
          </w:p>
        </w:tc>
      </w:tr>
      <w:tr w14:paraId="2E87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FD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04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分析洞察</w:t>
            </w: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6A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启示研判语句自动生成</w:t>
            </w:r>
          </w:p>
        </w:tc>
      </w:tr>
      <w:tr w14:paraId="0F87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2F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20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05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建议动作逻辑匹配</w:t>
            </w:r>
          </w:p>
        </w:tc>
      </w:tr>
      <w:tr w14:paraId="7358F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F2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CF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格式渲染</w:t>
            </w: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A7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HTML模板渲染引擎</w:t>
            </w:r>
          </w:p>
        </w:tc>
      </w:tr>
      <w:tr w14:paraId="4E92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3F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16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CA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多板块样式适配</w:t>
            </w:r>
          </w:p>
        </w:tc>
      </w:tr>
      <w:tr w14:paraId="08EF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2B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推送分发</w:t>
            </w:r>
          </w:p>
        </w:tc>
        <w:tc>
          <w:tcPr>
            <w:tcW w:w="1976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2F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定时触发</w:t>
            </w: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A3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每日8:30自动运行</w:t>
            </w:r>
          </w:p>
        </w:tc>
      </w:tr>
      <w:tr w14:paraId="4F96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7F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09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59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手动补发功能</w:t>
            </w:r>
          </w:p>
        </w:tc>
      </w:tr>
      <w:tr w14:paraId="4450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7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CD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1976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0E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6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4C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仿宋" w:eastAsia="仿宋"/>
                <w:sz w:val="21"/>
                <w:lang w:val="en-US" w:eastAsia="zh-CN"/>
              </w:rPr>
            </w:pPr>
            <w:r>
              <w:rPr>
                <w:rFonts w:hint="eastAsia" w:cs="仿宋"/>
                <w:sz w:val="21"/>
                <w:szCs w:val="21"/>
                <w:lang w:val="en-US" w:eastAsia="zh-CN"/>
              </w:rPr>
              <w:t>门户推送</w:t>
            </w:r>
          </w:p>
        </w:tc>
      </w:tr>
    </w:tbl>
    <w:p w14:paraId="30BD12B7">
      <w:r>
        <w:br w:type="page"/>
      </w:r>
    </w:p>
    <w:p w14:paraId="74E08BAF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三、智能体二：科创小助手（内部经营版）</w:t>
      </w:r>
    </w:p>
    <w:p w14:paraId="25A699A9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3.1 建设背景</w:t>
      </w:r>
    </w:p>
    <w:p w14:paraId="62511D0A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集团业务涵盖融资担保、项目管理、资产租赁、股权投资等多个板块，各业务线每日产生大量数据。目前经营分析报告依赖人工汇总，耗时长、维度单一、难以发现深层风险。</w:t>
      </w:r>
    </w:p>
    <w:p w14:paraId="37823C25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3.2 目标用户</w:t>
      </w:r>
    </w:p>
    <w:p w14:paraId="20A47373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董事长、总经理、财务总监、各业务线负责人。</w:t>
      </w:r>
    </w:p>
    <w:p w14:paraId="7539CAF4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3.3 数据来源与报告类型</w:t>
      </w:r>
    </w:p>
    <w:p w14:paraId="4CAD5FC9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类型一：融资担保业务分析报告</w:t>
      </w:r>
    </w:p>
    <w:p w14:paraId="32657C2F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数据来源：对外担保台账、征信报告数据、银行反馈信息。</w:t>
      </w:r>
    </w:p>
    <w:p w14:paraId="70CFEFE8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报告核心要素：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6"/>
        <w:gridCol w:w="4953"/>
        <w:gridCol w:w="2413"/>
      </w:tblGrid>
      <w:tr w14:paraId="13485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64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分析维度</w:t>
            </w:r>
          </w:p>
        </w:tc>
        <w:tc>
          <w:tcPr>
            <w:tcW w:w="4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9C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具体内容</w:t>
            </w:r>
          </w:p>
        </w:tc>
        <w:tc>
          <w:tcPr>
            <w:tcW w:w="241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68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关注阈值</w:t>
            </w:r>
          </w:p>
        </w:tc>
      </w:tr>
      <w:tr w14:paraId="0FDC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D0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业务总体概览</w:t>
            </w:r>
          </w:p>
        </w:tc>
        <w:tc>
          <w:tcPr>
            <w:tcW w:w="4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2C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担保项目数量、在保余额、风险敞口、被担保企业分布</w:t>
            </w:r>
          </w:p>
        </w:tc>
        <w:tc>
          <w:tcPr>
            <w:tcW w:w="241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2C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全量展示</w:t>
            </w:r>
          </w:p>
        </w:tc>
      </w:tr>
      <w:tr w14:paraId="0CC8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57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实质性风险</w:t>
            </w:r>
          </w:p>
        </w:tc>
        <w:tc>
          <w:tcPr>
            <w:tcW w:w="4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58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逾期项目数量、代偿风险提示、还款能力断裂识别</w:t>
            </w:r>
          </w:p>
        </w:tc>
        <w:tc>
          <w:tcPr>
            <w:tcW w:w="241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1F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任意项目触发</w:t>
            </w:r>
          </w:p>
        </w:tc>
      </w:tr>
      <w:tr w14:paraId="3D4D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2A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时间错配风险</w:t>
            </w:r>
          </w:p>
        </w:tc>
        <w:tc>
          <w:tcPr>
            <w:tcW w:w="4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72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6个月内到期债务密度、集中兑付压力评估</w:t>
            </w:r>
          </w:p>
        </w:tc>
        <w:tc>
          <w:tcPr>
            <w:tcW w:w="241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2D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35%以上集中到期</w:t>
            </w:r>
          </w:p>
        </w:tc>
      </w:tr>
      <w:tr w14:paraId="6EB46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0D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关联担保风险</w:t>
            </w:r>
          </w:p>
        </w:tc>
        <w:tc>
          <w:tcPr>
            <w:tcW w:w="4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BA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多头授信识别、系统性风险传染分析</w:t>
            </w:r>
          </w:p>
        </w:tc>
        <w:tc>
          <w:tcPr>
            <w:tcW w:w="241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3C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同一实控人多家平台互保</w:t>
            </w:r>
          </w:p>
        </w:tc>
      </w:tr>
      <w:tr w14:paraId="4057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0D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关键风险指标</w:t>
            </w:r>
          </w:p>
        </w:tc>
        <w:tc>
          <w:tcPr>
            <w:tcW w:w="495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C3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不良担保率、短期集中度、最大风险敞口企业</w:t>
            </w:r>
          </w:p>
        </w:tc>
        <w:tc>
          <w:tcPr>
            <w:tcW w:w="241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1E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仪表盘可视化</w:t>
            </w:r>
          </w:p>
        </w:tc>
      </w:tr>
    </w:tbl>
    <w:p w14:paraId="3DA5F330">
      <w:pPr>
        <w:spacing w:before="200"/>
      </w:pPr>
      <w:r>
        <w:rPr>
          <w:rFonts w:ascii="黑体" w:hAnsi="黑体" w:eastAsia="黑体" w:cs="黑体"/>
          <w:b/>
          <w:bCs/>
          <w:sz w:val="24"/>
          <w:szCs w:val="24"/>
        </w:rPr>
        <w:t>类型二：全量项目管理评估报告</w:t>
      </w:r>
    </w:p>
    <w:p w14:paraId="3875F48B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数据来源：项目台账、进度延期申请、问题反馈处理单、变更签证审批、竣工验收记录。</w:t>
      </w:r>
    </w:p>
    <w:tbl>
      <w:tblPr>
        <w:tblStyle w:val="11"/>
        <w:tblW w:w="6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6"/>
        <w:gridCol w:w="4358"/>
      </w:tblGrid>
      <w:tr w14:paraId="2C91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FE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分析维度</w:t>
            </w:r>
          </w:p>
        </w:tc>
        <w:tc>
          <w:tcPr>
            <w:tcW w:w="43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CB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具体内容</w:t>
            </w:r>
          </w:p>
        </w:tc>
      </w:tr>
      <w:tr w14:paraId="1F10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C6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项目总体概览</w:t>
            </w:r>
          </w:p>
        </w:tc>
        <w:tc>
          <w:tcPr>
            <w:tcW w:w="43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43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总数量、已竣工/执行中比例</w:t>
            </w:r>
          </w:p>
        </w:tc>
      </w:tr>
      <w:tr w14:paraId="5763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66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进度风险</w:t>
            </w:r>
          </w:p>
        </w:tc>
        <w:tc>
          <w:tcPr>
            <w:tcW w:w="43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18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严重滞后项目识别、延期申请合规性</w:t>
            </w:r>
          </w:p>
        </w:tc>
      </w:tr>
      <w:tr w14:paraId="0428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7A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成本管控</w:t>
            </w:r>
          </w:p>
        </w:tc>
        <w:tc>
          <w:tcPr>
            <w:tcW w:w="43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15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变更频繁度、正负向变更金额</w:t>
            </w:r>
          </w:p>
        </w:tc>
      </w:tr>
      <w:tr w14:paraId="0DE6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A9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质量闭环</w:t>
            </w:r>
          </w:p>
        </w:tc>
        <w:tc>
          <w:tcPr>
            <w:tcW w:w="43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EA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问题类型分布、整改效率</w:t>
            </w:r>
          </w:p>
        </w:tc>
      </w:tr>
      <w:tr w14:paraId="615D9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6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4B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合规性</w:t>
            </w:r>
          </w:p>
        </w:tc>
        <w:tc>
          <w:tcPr>
            <w:tcW w:w="43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30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验收合格率、决算合规性</w:t>
            </w:r>
          </w:p>
        </w:tc>
      </w:tr>
    </w:tbl>
    <w:p w14:paraId="6F19D988">
      <w:pPr>
        <w:spacing w:before="200"/>
      </w:pPr>
      <w:r>
        <w:rPr>
          <w:rFonts w:ascii="黑体" w:hAnsi="黑体" w:eastAsia="黑体" w:cs="黑体"/>
          <w:b/>
          <w:bCs/>
          <w:sz w:val="24"/>
          <w:szCs w:val="24"/>
        </w:rPr>
        <w:t>类型三：资产租赁业务经营分析报告</w:t>
      </w:r>
    </w:p>
    <w:p w14:paraId="20C6E781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数据来源：资产台账、开票情况数据、租赁合同台账。</w:t>
      </w:r>
    </w:p>
    <w:tbl>
      <w:tblPr>
        <w:tblStyle w:val="11"/>
        <w:tblW w:w="75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5040"/>
      </w:tblGrid>
      <w:tr w14:paraId="1D5D3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52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4482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分析维度</w:t>
            </w:r>
          </w:p>
        </w:tc>
        <w:tc>
          <w:tcPr>
            <w:tcW w:w="504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E4CA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具体内容</w:t>
            </w:r>
          </w:p>
        </w:tc>
      </w:tr>
      <w:tr w14:paraId="6549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6C03">
            <w:r>
              <w:rPr>
                <w:rFonts w:ascii="仿宋" w:hAnsi="仿宋" w:eastAsia="仿宋" w:cs="仿宋"/>
                <w:sz w:val="21"/>
                <w:szCs w:val="21"/>
              </w:rPr>
              <w:t>资产概况</w:t>
            </w:r>
          </w:p>
        </w:tc>
        <w:tc>
          <w:tcPr>
            <w:tcW w:w="504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6915">
            <w:r>
              <w:rPr>
                <w:rFonts w:ascii="仿宋" w:hAnsi="仿宋" w:eastAsia="仿宋" w:cs="仿宋"/>
                <w:sz w:val="21"/>
                <w:szCs w:val="21"/>
              </w:rPr>
              <w:t>总数量、空置率、闲置原因分布</w:t>
            </w:r>
          </w:p>
        </w:tc>
      </w:tr>
      <w:tr w14:paraId="4DB6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E298">
            <w:r>
              <w:rPr>
                <w:rFonts w:ascii="仿宋" w:hAnsi="仿宋" w:eastAsia="仿宋" w:cs="仿宋"/>
                <w:sz w:val="21"/>
                <w:szCs w:val="21"/>
              </w:rPr>
              <w:t>出租率分析</w:t>
            </w:r>
          </w:p>
        </w:tc>
        <w:tc>
          <w:tcPr>
            <w:tcW w:w="504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C77B">
            <w:r>
              <w:rPr>
                <w:rFonts w:ascii="仿宋" w:hAnsi="仿宋" w:eastAsia="仿宋" w:cs="仿宋"/>
                <w:sz w:val="21"/>
                <w:szCs w:val="21"/>
              </w:rPr>
              <w:t>已出租/自用比例、主要闲置原因</w:t>
            </w:r>
          </w:p>
        </w:tc>
      </w:tr>
      <w:tr w14:paraId="69A0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08C7">
            <w:r>
              <w:rPr>
                <w:rFonts w:ascii="仿宋" w:hAnsi="仿宋" w:eastAsia="仿宋" w:cs="仿宋"/>
                <w:sz w:val="21"/>
                <w:szCs w:val="21"/>
              </w:rPr>
              <w:t>收入趋势</w:t>
            </w:r>
          </w:p>
        </w:tc>
        <w:tc>
          <w:tcPr>
            <w:tcW w:w="504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F960">
            <w:r>
              <w:rPr>
                <w:rFonts w:ascii="仿宋" w:hAnsi="仿宋" w:eastAsia="仿宋" w:cs="仿宋"/>
                <w:sz w:val="21"/>
                <w:szCs w:val="21"/>
              </w:rPr>
              <w:t>开票总额、大客户依赖度、年度趋势</w:t>
            </w:r>
          </w:p>
        </w:tc>
      </w:tr>
      <w:tr w14:paraId="4815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30F2">
            <w:r>
              <w:rPr>
                <w:rFonts w:ascii="仿宋" w:hAnsi="仿宋" w:eastAsia="仿宋" w:cs="仿宋"/>
                <w:sz w:val="21"/>
                <w:szCs w:val="21"/>
              </w:rPr>
              <w:t>应收账款风险</w:t>
            </w:r>
          </w:p>
        </w:tc>
        <w:tc>
          <w:tcPr>
            <w:tcW w:w="504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7841">
            <w:r>
              <w:rPr>
                <w:rFonts w:ascii="仿宋" w:hAnsi="仿宋" w:eastAsia="仿宋" w:cs="仿宋"/>
                <w:sz w:val="21"/>
                <w:szCs w:val="21"/>
              </w:rPr>
              <w:t>长期未开票合同（超6个月）</w:t>
            </w:r>
          </w:p>
        </w:tc>
      </w:tr>
      <w:tr w14:paraId="03509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40C0">
            <w:r>
              <w:rPr>
                <w:rFonts w:ascii="仿宋" w:hAnsi="仿宋" w:eastAsia="仿宋" w:cs="仿宋"/>
                <w:sz w:val="21"/>
                <w:szCs w:val="21"/>
              </w:rPr>
              <w:t>抵押风险</w:t>
            </w:r>
          </w:p>
        </w:tc>
        <w:tc>
          <w:tcPr>
            <w:tcW w:w="504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7CE8">
            <w:r>
              <w:rPr>
                <w:rFonts w:ascii="仿宋" w:hAnsi="仿宋" w:eastAsia="仿宋" w:cs="仿宋"/>
                <w:sz w:val="21"/>
                <w:szCs w:val="21"/>
              </w:rPr>
              <w:t>资产抵押率、关联债务风险</w:t>
            </w:r>
          </w:p>
        </w:tc>
      </w:tr>
    </w:tbl>
    <w:p w14:paraId="6F730FD6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3.4 报告输出格式</w:t>
      </w:r>
    </w:p>
    <w:p w14:paraId="04F4F02B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内部经营报告采用Word文档格式，包含：</w:t>
      </w:r>
    </w:p>
    <w:p w14:paraId="30DD6BFE">
      <w:pPr>
        <w:spacing w:before="60" w:after="60"/>
        <w:ind w:left="720" w:hanging="360"/>
      </w:pPr>
      <w:r>
        <w:rPr>
          <w:rFonts w:ascii="仿宋" w:hAnsi="仿宋" w:eastAsia="仿宋" w:cs="仿宋"/>
          <w:sz w:val="24"/>
          <w:szCs w:val="24"/>
        </w:rPr>
        <w:t>• 封面页（报告标题、编制部门、生成日期）</w:t>
      </w:r>
    </w:p>
    <w:p w14:paraId="57633DB3">
      <w:pPr>
        <w:spacing w:before="60" w:after="60"/>
        <w:ind w:left="720" w:hanging="360"/>
      </w:pPr>
      <w:r>
        <w:rPr>
          <w:rFonts w:ascii="仿宋" w:hAnsi="仿宋" w:eastAsia="仿宋" w:cs="仿宋"/>
          <w:sz w:val="24"/>
          <w:szCs w:val="24"/>
        </w:rPr>
        <w:t>• 一、业务总体概览（核心指标仪表盘、趋势图）</w:t>
      </w:r>
    </w:p>
    <w:p w14:paraId="0FF91225">
      <w:pPr>
        <w:spacing w:before="60" w:after="60"/>
        <w:ind w:left="720" w:hanging="360"/>
      </w:pPr>
      <w:r>
        <w:rPr>
          <w:rFonts w:ascii="仿宋" w:hAnsi="仿宋" w:eastAsia="仿宋" w:cs="仿宋"/>
          <w:sz w:val="24"/>
          <w:szCs w:val="24"/>
        </w:rPr>
        <w:t>• 二、风险深度诊断（核心）（风险一至风险三详细分析）</w:t>
      </w:r>
    </w:p>
    <w:p w14:paraId="038879B8">
      <w:pPr>
        <w:spacing w:before="60" w:after="60"/>
        <w:ind w:left="720" w:hanging="360"/>
      </w:pPr>
      <w:r>
        <w:rPr>
          <w:rFonts w:ascii="仿宋" w:hAnsi="仿宋" w:eastAsia="仿宋" w:cs="仿宋"/>
          <w:sz w:val="24"/>
          <w:szCs w:val="24"/>
        </w:rPr>
        <w:t>• 三、综合评估结论（多维度评分表）</w:t>
      </w:r>
    </w:p>
    <w:p w14:paraId="124D179F">
      <w:pPr>
        <w:spacing w:before="60" w:after="60"/>
        <w:ind w:left="720" w:hanging="360"/>
      </w:pPr>
      <w:r>
        <w:rPr>
          <w:rFonts w:ascii="仿宋" w:hAnsi="仿宋" w:eastAsia="仿宋" w:cs="仿宋"/>
          <w:sz w:val="24"/>
          <w:szCs w:val="24"/>
        </w:rPr>
        <w:t>• 四、管理建议（紧急事项、中期优化、长期规划）</w:t>
      </w:r>
    </w:p>
    <w:p w14:paraId="0163EAB4">
      <w:pPr>
        <w:spacing w:before="60" w:after="60"/>
        <w:ind w:left="720" w:hanging="360"/>
      </w:pPr>
      <w:r>
        <w:rPr>
          <w:rFonts w:ascii="仿宋" w:hAnsi="仿宋" w:eastAsia="仿宋" w:cs="仿宋"/>
          <w:sz w:val="24"/>
          <w:szCs w:val="24"/>
        </w:rPr>
        <w:t>• 附：数据明细表</w:t>
      </w:r>
    </w:p>
    <w:p w14:paraId="10D510A5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3.5 功能清单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1"/>
        <w:gridCol w:w="2230"/>
        <w:gridCol w:w="5041"/>
      </w:tblGrid>
      <w:tr w14:paraId="6857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84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一级功能</w:t>
            </w:r>
          </w:p>
        </w:tc>
        <w:tc>
          <w:tcPr>
            <w:tcW w:w="223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80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二级功能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1D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三级功能</w:t>
            </w:r>
          </w:p>
        </w:tc>
      </w:tr>
      <w:tr w14:paraId="50A0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97C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数据对接</w:t>
            </w: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5C6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担保数据对接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174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担保台账Excel/CSV导入接口</w:t>
            </w:r>
          </w:p>
        </w:tc>
      </w:tr>
      <w:tr w14:paraId="308D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508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42B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2D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征信数据标准格式处理</w:t>
            </w:r>
          </w:p>
        </w:tc>
      </w:tr>
      <w:tr w14:paraId="5D1A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4C1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8D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项目数据对接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AE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项目台账对接（6类文档）</w:t>
            </w:r>
          </w:p>
        </w:tc>
      </w:tr>
      <w:tr w14:paraId="34089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BE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2B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FA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变更签证、问题反馈等附件解析</w:t>
            </w:r>
          </w:p>
        </w:tc>
      </w:tr>
      <w:tr w14:paraId="6A16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32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932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资产数据对接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65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资产台账对接</w:t>
            </w:r>
          </w:p>
        </w:tc>
      </w:tr>
      <w:tr w14:paraId="112F2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243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5C1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797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开票数据关联分析</w:t>
            </w:r>
          </w:p>
        </w:tc>
      </w:tr>
      <w:tr w14:paraId="6BA11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C71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风险分析</w:t>
            </w: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651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担保风险模型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A7B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代偿风险识别算法</w:t>
            </w:r>
          </w:p>
        </w:tc>
      </w:tr>
      <w:tr w14:paraId="02F1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DF0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EF8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099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时间错配分析</w:t>
            </w:r>
          </w:p>
        </w:tc>
      </w:tr>
      <w:tr w14:paraId="4E0BF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00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43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7B9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关联担保网络分析</w:t>
            </w:r>
          </w:p>
        </w:tc>
      </w:tr>
      <w:tr w14:paraId="121A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94F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4DF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项目风险模型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5D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进度滞后识别</w:t>
            </w:r>
          </w:p>
        </w:tc>
      </w:tr>
      <w:tr w14:paraId="609A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E3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964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C54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成本超支预警</w:t>
            </w:r>
          </w:p>
        </w:tc>
      </w:tr>
      <w:tr w14:paraId="42CF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83C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C3C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62A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变更频繁度评估</w:t>
            </w:r>
          </w:p>
        </w:tc>
      </w:tr>
      <w:tr w14:paraId="3B7E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59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2F0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资产风险模型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F5A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僵尸合同识别</w:t>
            </w:r>
          </w:p>
        </w:tc>
      </w:tr>
      <w:tr w14:paraId="5073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01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3B1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79E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抵押风险评估</w:t>
            </w:r>
          </w:p>
        </w:tc>
      </w:tr>
      <w:tr w14:paraId="6AC4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25E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20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405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空置资产去化优先级</w:t>
            </w:r>
          </w:p>
        </w:tc>
      </w:tr>
      <w:tr w14:paraId="07E6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73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报告生成</w:t>
            </w: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05D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指标计算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58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多维度指标自动计算引擎</w:t>
            </w:r>
          </w:p>
        </w:tc>
      </w:tr>
      <w:tr w14:paraId="1772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E90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95A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2D4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阈值触发逻辑</w:t>
            </w:r>
          </w:p>
        </w:tc>
      </w:tr>
      <w:tr w14:paraId="1A70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3A9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4BC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内容生成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998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风险描述自动生成</w:t>
            </w:r>
          </w:p>
        </w:tc>
      </w:tr>
      <w:tr w14:paraId="69B0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95B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EDA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DDA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建议策略匹配</w:t>
            </w:r>
          </w:p>
        </w:tc>
      </w:tr>
      <w:tr w14:paraId="678D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7FE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B8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885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评分算法实现</w:t>
            </w:r>
          </w:p>
        </w:tc>
      </w:tr>
      <w:tr w14:paraId="74CF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0C2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30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格式渲染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C7F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Word模板引擎</w:t>
            </w:r>
          </w:p>
        </w:tc>
      </w:tr>
      <w:tr w14:paraId="11406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E99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03D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34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图表自动生成（仪表盘、雷达图）</w:t>
            </w:r>
          </w:p>
        </w:tc>
      </w:tr>
      <w:tr w14:paraId="7833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1DA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63B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5B9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封面页自动化</w:t>
            </w:r>
          </w:p>
        </w:tc>
      </w:tr>
      <w:tr w14:paraId="7843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F5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推送分发</w:t>
            </w:r>
          </w:p>
        </w:tc>
        <w:tc>
          <w:tcPr>
            <w:tcW w:w="2230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F85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定时生成</w:t>
            </w: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8A4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每周经营例会前自动生成</w:t>
            </w:r>
          </w:p>
        </w:tc>
      </w:tr>
      <w:tr w14:paraId="07EC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C52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A08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CE5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月度报告归档</w:t>
            </w:r>
          </w:p>
        </w:tc>
      </w:tr>
      <w:tr w14:paraId="2EC8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1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48F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0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84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5041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E4D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内部OA推送</w:t>
            </w:r>
          </w:p>
        </w:tc>
      </w:tr>
    </w:tbl>
    <w:p w14:paraId="387A6F5D">
      <w:r>
        <w:br w:type="page"/>
      </w:r>
    </w:p>
    <w:p w14:paraId="5AAF6946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四、智能体三：合同预审助手</w:t>
      </w:r>
    </w:p>
    <w:p w14:paraId="1B6CA579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4.1 建设背景</w:t>
      </w:r>
    </w:p>
    <w:p w14:paraId="6DF28F24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集团日常合同签署量大，涉及投资协议、租赁合同、采购合同、工程合同等多种类型。业务部门在法务资源有限的情况下，难以对每份合同进行全面审查，存在潜在法律风险。</w:t>
      </w:r>
    </w:p>
    <w:p w14:paraId="0A524532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4.2 目标用户</w:t>
      </w:r>
    </w:p>
    <w:p w14:paraId="13642AB1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业务部门经办人员（提交预审申请）、法务部门（复核与确认）、部门负责人（审批参考）。</w:t>
      </w:r>
    </w:p>
    <w:p w14:paraId="455E2CE4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4.3 核心功能</w:t>
      </w:r>
    </w:p>
    <w:p w14:paraId="06654DC3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第一功能：合同要素智能提取</w:t>
      </w:r>
    </w:p>
    <w:p w14:paraId="463B9973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自动识别并提取合同中的关键要素：合同双方基本信息、合同标的与金额、履约期限与节点、付款条件与方式、违约责任条款、争议解决条款、附件清单。</w:t>
      </w:r>
    </w:p>
    <w:p w14:paraId="20E958F6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第二功能：风险点智能识别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5708"/>
        <w:gridCol w:w="1332"/>
      </w:tblGrid>
      <w:tr w14:paraId="3FC3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4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12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风险类别</w:t>
            </w:r>
          </w:p>
        </w:tc>
        <w:tc>
          <w:tcPr>
            <w:tcW w:w="57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68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识别规则</w:t>
            </w:r>
          </w:p>
        </w:tc>
        <w:tc>
          <w:tcPr>
            <w:tcW w:w="13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2E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风险等级</w:t>
            </w:r>
          </w:p>
        </w:tc>
      </w:tr>
      <w:tr w14:paraId="0185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21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主体资格风险</w:t>
            </w:r>
          </w:p>
        </w:tc>
        <w:tc>
          <w:tcPr>
            <w:tcW w:w="57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FF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签约方是否为失信被执行人、是否具备相应资质</w:t>
            </w:r>
          </w:p>
        </w:tc>
        <w:tc>
          <w:tcPr>
            <w:tcW w:w="13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0D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高</w:t>
            </w:r>
          </w:p>
        </w:tc>
      </w:tr>
      <w:tr w14:paraId="7CBE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B6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条款缺失风险</w:t>
            </w:r>
          </w:p>
        </w:tc>
        <w:tc>
          <w:tcPr>
            <w:tcW w:w="57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0C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必要条款是否完整（验收标准、保密条款等）</w:t>
            </w:r>
          </w:p>
        </w:tc>
        <w:tc>
          <w:tcPr>
            <w:tcW w:w="13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BB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中</w:t>
            </w:r>
          </w:p>
        </w:tc>
      </w:tr>
      <w:tr w14:paraId="5E31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91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权利义务失衡</w:t>
            </w:r>
          </w:p>
        </w:tc>
        <w:tc>
          <w:tcPr>
            <w:tcW w:w="57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E0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明显不利于集团的条款识别</w:t>
            </w:r>
          </w:p>
        </w:tc>
        <w:tc>
          <w:tcPr>
            <w:tcW w:w="13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9B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高</w:t>
            </w:r>
          </w:p>
        </w:tc>
      </w:tr>
      <w:tr w14:paraId="1575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AD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履约风险</w:t>
            </w:r>
          </w:p>
        </w:tc>
        <w:tc>
          <w:tcPr>
            <w:tcW w:w="57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03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付款节点与交付成果不匹配</w:t>
            </w:r>
          </w:p>
        </w:tc>
        <w:tc>
          <w:tcPr>
            <w:tcW w:w="13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79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中</w:t>
            </w:r>
          </w:p>
        </w:tc>
      </w:tr>
      <w:tr w14:paraId="3622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73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违约成本风险</w:t>
            </w:r>
          </w:p>
        </w:tc>
        <w:tc>
          <w:tcPr>
            <w:tcW w:w="57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E2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违约金比例异常（过高或过低）</w:t>
            </w:r>
          </w:p>
        </w:tc>
        <w:tc>
          <w:tcPr>
            <w:tcW w:w="13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D6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中</w:t>
            </w:r>
          </w:p>
        </w:tc>
      </w:tr>
      <w:tr w14:paraId="7AA1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8F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法律合规风险</w:t>
            </w:r>
          </w:p>
        </w:tc>
        <w:tc>
          <w:tcPr>
            <w:tcW w:w="570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3C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违反现行法律法规的条款</w:t>
            </w:r>
          </w:p>
        </w:tc>
        <w:tc>
          <w:tcPr>
            <w:tcW w:w="13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F7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高</w:t>
            </w:r>
          </w:p>
        </w:tc>
      </w:tr>
    </w:tbl>
    <w:p w14:paraId="5DBFD90B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第三功能：合规性检查</w:t>
      </w:r>
    </w:p>
    <w:p w14:paraId="385EF0AE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对照集团制度库检查：合同审批流程是否符合规定、金额权限是否在授权范围内、是否履行了必要的公示程序、关联交易是否已披露。</w:t>
      </w:r>
    </w:p>
    <w:p w14:paraId="4815003A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第四功能：修改建议生成</w:t>
      </w:r>
    </w:p>
    <w:p w14:paraId="4211F84E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对识别出的风险点，自动生成问题描述、风险说明、修改建议（具体条款表述）、参考法规依据。</w:t>
      </w:r>
    </w:p>
    <w:p w14:paraId="205E84BE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4.4 知识库内容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3"/>
        <w:gridCol w:w="6062"/>
        <w:gridCol w:w="1407"/>
      </w:tblGrid>
      <w:tr w14:paraId="5957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A7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知识类别</w:t>
            </w: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DC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具体内容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18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来源</w:t>
            </w:r>
          </w:p>
        </w:tc>
      </w:tr>
      <w:tr w14:paraId="5D21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FE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法律法规</w:t>
            </w: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41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民法典合同编全文及司法解释、公司法相关条款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D9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仿宋" w:eastAsia="仿宋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手动更新</w:t>
            </w:r>
          </w:p>
        </w:tc>
      </w:tr>
      <w:tr w14:paraId="2DA7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DB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9B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国有资产管理规定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33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手动更新</w:t>
            </w:r>
          </w:p>
        </w:tc>
      </w:tr>
      <w:tr w14:paraId="18DBD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B9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集团制度</w:t>
            </w: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D3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合同管理办法（最新版）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40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手动更新</w:t>
            </w:r>
          </w:p>
        </w:tc>
      </w:tr>
      <w:tr w14:paraId="719C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E8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37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授权审批权限表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F4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手动更新</w:t>
            </w:r>
          </w:p>
        </w:tc>
      </w:tr>
      <w:tr w14:paraId="1A1C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D1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AF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常用合同模板库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25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手动维护</w:t>
            </w:r>
          </w:p>
        </w:tc>
      </w:tr>
      <w:tr w14:paraId="27E63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C6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行业规范</w:t>
            </w: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32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融资担保相关法规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FA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手动更新</w:t>
            </w:r>
          </w:p>
        </w:tc>
      </w:tr>
      <w:tr w14:paraId="7146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83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7F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建设工程合同规范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DA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手动更新</w:t>
            </w:r>
          </w:p>
        </w:tc>
      </w:tr>
      <w:tr w14:paraId="1E3D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1E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历史案例</w:t>
            </w: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CF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合同纠纷案例库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52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手动维护</w:t>
            </w:r>
          </w:p>
        </w:tc>
      </w:tr>
      <w:tr w14:paraId="7224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C1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606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B6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风险条款示例库</w:t>
            </w:r>
          </w:p>
        </w:tc>
        <w:tc>
          <w:tcPr>
            <w:tcW w:w="140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79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手动维护</w:t>
            </w:r>
          </w:p>
        </w:tc>
      </w:tr>
    </w:tbl>
    <w:p w14:paraId="2C894468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4.5 功能清单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3"/>
        <w:gridCol w:w="2232"/>
        <w:gridCol w:w="4777"/>
      </w:tblGrid>
      <w:tr w14:paraId="0113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3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D1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一级功能</w:t>
            </w:r>
          </w:p>
        </w:tc>
        <w:tc>
          <w:tcPr>
            <w:tcW w:w="2232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5A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二级功能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C4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三级功能</w:t>
            </w:r>
          </w:p>
        </w:tc>
      </w:tr>
      <w:tr w14:paraId="75D6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C8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合同解析</w:t>
            </w: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3C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OCR识别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C3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扫描件/图片合同识别</w:t>
            </w:r>
          </w:p>
        </w:tc>
      </w:tr>
      <w:tr w14:paraId="45245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F7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5D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07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印章、签名区域识别</w:t>
            </w:r>
          </w:p>
        </w:tc>
      </w:tr>
      <w:tr w14:paraId="3AB4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30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38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结构化提取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D2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文本要素提取（正则+NER）</w:t>
            </w:r>
          </w:p>
        </w:tc>
      </w:tr>
      <w:tr w14:paraId="12D1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49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BF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40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表格类合同解析</w:t>
            </w:r>
          </w:p>
        </w:tc>
      </w:tr>
      <w:tr w14:paraId="400E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36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78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59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条款语义分析</w:t>
            </w:r>
          </w:p>
        </w:tc>
      </w:tr>
      <w:tr w14:paraId="729D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C8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风险识别</w:t>
            </w: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72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主体风险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55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失信被执行人查询接口</w:t>
            </w:r>
          </w:p>
        </w:tc>
      </w:tr>
      <w:tr w14:paraId="447D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C3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97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D2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资质证照自动核验</w:t>
            </w:r>
          </w:p>
        </w:tc>
      </w:tr>
      <w:tr w14:paraId="6674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D3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26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条款风险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30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高风险条款模式库</w:t>
            </w:r>
          </w:p>
        </w:tc>
      </w:tr>
      <w:tr w14:paraId="6FC8B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F3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FE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01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违约金合理性评估</w:t>
            </w:r>
          </w:p>
        </w:tc>
      </w:tr>
      <w:tr w14:paraId="5BFF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7F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F3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D0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履约节点匹配分析</w:t>
            </w:r>
          </w:p>
        </w:tc>
      </w:tr>
      <w:tr w14:paraId="435A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9B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ED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合规检查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16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授权权限规则引擎</w:t>
            </w:r>
          </w:p>
        </w:tc>
      </w:tr>
      <w:tr w14:paraId="1347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E5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0D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8B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sz w:val="21"/>
                <w:szCs w:val="21"/>
              </w:rPr>
              <w:t>流程合规性校验</w:t>
            </w:r>
          </w:p>
        </w:tc>
      </w:tr>
      <w:tr w14:paraId="132C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72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建议生成</w:t>
            </w: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90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修改建议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DB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条款改写建议生成</w:t>
            </w:r>
          </w:p>
        </w:tc>
      </w:tr>
      <w:tr w14:paraId="089A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E8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50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E9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法规依据引用</w:t>
            </w:r>
          </w:p>
        </w:tc>
      </w:tr>
      <w:tr w14:paraId="06B6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95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23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15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模板对比差异分析</w:t>
            </w:r>
          </w:p>
        </w:tc>
      </w:tr>
      <w:tr w14:paraId="5DF9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64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报告输出</w:t>
            </w: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96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报告生成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B8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预审报告模板渲染</w:t>
            </w:r>
          </w:p>
        </w:tc>
      </w:tr>
      <w:tr w14:paraId="39AF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FC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B0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A9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高亮标注合同原文</w:t>
            </w:r>
          </w:p>
        </w:tc>
      </w:tr>
      <w:tr w14:paraId="14A7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6D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48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存档管理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B6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预审记录归档</w:t>
            </w:r>
          </w:p>
        </w:tc>
      </w:tr>
      <w:tr w14:paraId="0038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66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12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B3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历史预审查询</w:t>
            </w:r>
          </w:p>
        </w:tc>
      </w:tr>
      <w:tr w14:paraId="22E0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A1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D2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交互界面</w:t>
            </w: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7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Web端预审界面</w:t>
            </w:r>
          </w:p>
        </w:tc>
      </w:tr>
      <w:tr w14:paraId="44BF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3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47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232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4A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777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89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批量预审功能</w:t>
            </w:r>
          </w:p>
        </w:tc>
      </w:tr>
    </w:tbl>
    <w:p w14:paraId="67603093">
      <w:r>
        <w:br w:type="page"/>
      </w:r>
    </w:p>
    <w:p w14:paraId="56BAD1D7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五、共享基础：制度知识库</w:t>
      </w:r>
    </w:p>
    <w:p w14:paraId="5CE26DE2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5.1 建设目标</w:t>
      </w:r>
    </w:p>
    <w:p w14:paraId="1E328DA8">
      <w:pPr>
        <w:spacing w:before="120" w:after="120"/>
        <w:jc w:val="left"/>
      </w:pPr>
      <w:r>
        <w:rPr>
          <w:rFonts w:ascii="仿宋" w:hAnsi="仿宋" w:eastAsia="仿宋" w:cs="仿宋"/>
          <w:b w:val="0"/>
          <w:bCs w:val="0"/>
          <w:color w:val="000000"/>
          <w:sz w:val="24"/>
          <w:szCs w:val="24"/>
        </w:rPr>
        <w:t>三大智能体共用同一个制度知识库，实现：法规政策的统一管理与更新、集团内部制度的结构化存储、智能检索与引用。</w:t>
      </w:r>
    </w:p>
    <w:p w14:paraId="245B6837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5.2 知识库内容架构</w:t>
      </w:r>
    </w:p>
    <w:p w14:paraId="48993B18">
      <w:pPr>
        <w:spacing w:before="120" w:after="120"/>
        <w:jc w:val="left"/>
      </w:pPr>
      <w:r>
        <w:rPr>
          <w:rFonts w:ascii="仿宋" w:hAnsi="仿宋" w:eastAsia="仿宋" w:cs="仿宋"/>
          <w:b/>
          <w:bCs/>
          <w:color w:val="000000"/>
          <w:sz w:val="24"/>
          <w:szCs w:val="24"/>
        </w:rPr>
        <w:t>制度知识库包含：</w:t>
      </w:r>
    </w:p>
    <w:p w14:paraId="3471921C">
      <w:pPr>
        <w:spacing w:before="60" w:after="60"/>
      </w:pPr>
      <w:r>
        <w:rPr>
          <w:rFonts w:ascii="仿宋" w:hAnsi="仿宋" w:eastAsia="仿宋" w:cs="仿宋"/>
          <w:sz w:val="24"/>
          <w:szCs w:val="24"/>
        </w:rPr>
        <w:t>• 法规库：国家法律（民法典、公司法等）、行政法规、部门规章、地方性法规</w:t>
      </w:r>
    </w:p>
    <w:p w14:paraId="2089281E">
      <w:pPr>
        <w:spacing w:before="60" w:after="60"/>
      </w:pPr>
      <w:r>
        <w:rPr>
          <w:rFonts w:ascii="仿宋" w:hAnsi="仿宋" w:eastAsia="仿宋" w:cs="仿宋"/>
          <w:sz w:val="24"/>
          <w:szCs w:val="24"/>
        </w:rPr>
        <w:t>• 集团制度：公司治理类、投资管理类、财务资金类、合同管理类、人力资源类、行政办公类、信息化管理类</w:t>
      </w:r>
    </w:p>
    <w:p w14:paraId="705337D1">
      <w:pPr>
        <w:spacing w:before="60" w:after="60"/>
      </w:pPr>
      <w:r>
        <w:rPr>
          <w:rFonts w:ascii="仿宋" w:hAnsi="仿宋" w:eastAsia="仿宋" w:cs="仿宋"/>
          <w:sz w:val="24"/>
          <w:szCs w:val="24"/>
        </w:rPr>
        <w:t>• 业务模板库：投资协议模板、担保合同模板、租赁合同模板、工程合同模板、采购合同模板</w:t>
      </w:r>
    </w:p>
    <w:p w14:paraId="2425CE42">
      <w:pPr>
        <w:spacing w:before="60" w:after="60"/>
      </w:pPr>
      <w:r>
        <w:rPr>
          <w:rFonts w:ascii="仿宋" w:hAnsi="仿宋" w:eastAsia="仿宋" w:cs="仿宋"/>
          <w:sz w:val="24"/>
          <w:szCs w:val="24"/>
        </w:rPr>
        <w:t>• 案例知识库：合同纠纷案例、风险事件案例、优秀实践案例</w:t>
      </w:r>
    </w:p>
    <w:p w14:paraId="7BDDB562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5.3 知识库功能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8"/>
        <w:gridCol w:w="6924"/>
      </w:tblGrid>
      <w:tr w14:paraId="0915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6A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692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DF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描述</w:t>
            </w:r>
          </w:p>
        </w:tc>
      </w:tr>
      <w:tr w14:paraId="3DF0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D1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智能检索</w:t>
            </w:r>
          </w:p>
        </w:tc>
        <w:tc>
          <w:tcPr>
            <w:tcW w:w="692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EC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支持自然语言查询，返回相关法规条款</w:t>
            </w:r>
          </w:p>
        </w:tc>
      </w:tr>
      <w:tr w14:paraId="5B10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00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条款关联</w:t>
            </w:r>
          </w:p>
        </w:tc>
        <w:tc>
          <w:tcPr>
            <w:tcW w:w="692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F8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自动建立法规与业务场景的关联关系</w:t>
            </w:r>
          </w:p>
        </w:tc>
      </w:tr>
      <w:tr w14:paraId="10B0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C0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版本管理</w:t>
            </w:r>
          </w:p>
        </w:tc>
        <w:tc>
          <w:tcPr>
            <w:tcW w:w="692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A6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记录制度修订历史，支持版本对比</w:t>
            </w:r>
          </w:p>
        </w:tc>
      </w:tr>
      <w:tr w14:paraId="3149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8D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更新提醒</w:t>
            </w:r>
          </w:p>
        </w:tc>
        <w:tc>
          <w:tcPr>
            <w:tcW w:w="692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F7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法规变动时自动推送更新通知</w:t>
            </w:r>
          </w:p>
        </w:tc>
      </w:tr>
      <w:tr w14:paraId="246B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8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34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权限管理</w:t>
            </w:r>
          </w:p>
        </w:tc>
        <w:tc>
          <w:tcPr>
            <w:tcW w:w="692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99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不同岗位可查阅的知识范围差异控制</w:t>
            </w:r>
          </w:p>
        </w:tc>
      </w:tr>
    </w:tbl>
    <w:p w14:paraId="1F4EE273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5.4 功能清单</w:t>
      </w:r>
    </w:p>
    <w:tbl>
      <w:tblPr>
        <w:tblStyle w:val="11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2039"/>
        <w:gridCol w:w="4804"/>
      </w:tblGrid>
      <w:tr w14:paraId="0B50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3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708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一级功能</w:t>
            </w:r>
          </w:p>
        </w:tc>
        <w:tc>
          <w:tcPr>
            <w:tcW w:w="203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158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二级功能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6F4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b/>
                <w:sz w:val="21"/>
              </w:rPr>
            </w:pPr>
            <w:r>
              <w:rPr>
                <w:rFonts w:ascii="仿宋" w:hAnsi="仿宋" w:eastAsia="仿宋" w:cs="仿宋"/>
                <w:b/>
                <w:bCs/>
                <w:sz w:val="21"/>
                <w:szCs w:val="21"/>
              </w:rPr>
              <w:t>三级功能</w:t>
            </w:r>
          </w:p>
        </w:tc>
      </w:tr>
      <w:tr w14:paraId="20B4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5A83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知识采集</w:t>
            </w: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CB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法规采集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5F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国家法律法规数据库对接</w:t>
            </w:r>
          </w:p>
        </w:tc>
      </w:tr>
      <w:tr w14:paraId="35BE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68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50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0DF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部门规章定期抓取</w:t>
            </w:r>
          </w:p>
        </w:tc>
      </w:tr>
      <w:tr w14:paraId="3A8B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605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3B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制度录入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E8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集团制度结构化录入</w:t>
            </w:r>
          </w:p>
        </w:tc>
      </w:tr>
      <w:tr w14:paraId="5E80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833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E0E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45B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历史制度版本归档</w:t>
            </w:r>
          </w:p>
        </w:tc>
      </w:tr>
      <w:tr w14:paraId="5BC6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E4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92E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模板管理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901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业务模板上传与管理</w:t>
            </w:r>
          </w:p>
        </w:tc>
      </w:tr>
      <w:tr w14:paraId="78D2C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EB0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366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CB4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模板版本控制</w:t>
            </w:r>
          </w:p>
        </w:tc>
      </w:tr>
      <w:tr w14:paraId="5C56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BB0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知识管理</w:t>
            </w: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B37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分类体系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00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多维度分类体系构建</w:t>
            </w:r>
          </w:p>
        </w:tc>
      </w:tr>
      <w:tr w14:paraId="5B84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3DB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FE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6F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标签管理</w:t>
            </w:r>
          </w:p>
        </w:tc>
      </w:tr>
      <w:tr w14:paraId="38F6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EA8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C91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关系构建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60D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法规-条款关联关系</w:t>
            </w:r>
          </w:p>
        </w:tc>
      </w:tr>
      <w:tr w14:paraId="5AE2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573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F4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872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业务场景-制度映射</w:t>
            </w:r>
          </w:p>
        </w:tc>
      </w:tr>
      <w:tr w14:paraId="5BF0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04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检索引擎</w:t>
            </w: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CCD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全文检索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8B1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倒排索引引擎</w:t>
            </w:r>
          </w:p>
        </w:tc>
      </w:tr>
      <w:tr w14:paraId="57D1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D07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C5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41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仿宋" w:hAnsi="仿宋" w:eastAsia="仿宋" w:cs="仿宋"/>
                <w:sz w:val="21"/>
                <w:szCs w:val="21"/>
              </w:rPr>
              <w:t>语义检索</w:t>
            </w:r>
          </w:p>
        </w:tc>
      </w:tr>
      <w:tr w14:paraId="08E4E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FDD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F4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检索增强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714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检索结果排序优化</w:t>
            </w:r>
          </w:p>
        </w:tc>
      </w:tr>
      <w:tr w14:paraId="3AA0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FF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67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D1C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检索建议与纠错</w:t>
            </w:r>
          </w:p>
        </w:tc>
      </w:tr>
      <w:tr w14:paraId="3D63F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FC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权限控制</w:t>
            </w: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449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角色权限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9DA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多角色权限体系</w:t>
            </w:r>
          </w:p>
        </w:tc>
      </w:tr>
      <w:tr w14:paraId="0E5B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5E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9A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34C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访问审计</w:t>
            </w:r>
          </w:p>
        </w:tc>
      </w:tr>
      <w:tr w14:paraId="3973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E90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运维管理</w:t>
            </w: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916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版本管理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3ED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制度版本比对</w:t>
            </w:r>
          </w:p>
        </w:tc>
      </w:tr>
      <w:tr w14:paraId="6A24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572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5A2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CB8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更新通知</w:t>
            </w:r>
          </w:p>
        </w:tc>
      </w:tr>
      <w:tr w14:paraId="6215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B6D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restart"/>
            <w:tcBorders>
              <w:top w:val="single" w:color="666666" w:sz="0" w:space="0"/>
              <w:left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BF0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数据维护</w:t>
            </w: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171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定期数据备份</w:t>
            </w:r>
          </w:p>
        </w:tc>
      </w:tr>
      <w:tr w14:paraId="3489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6BC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2039" w:type="dxa"/>
            <w:vMerge w:val="continue"/>
            <w:tcBorders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49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</w:p>
        </w:tc>
        <w:tc>
          <w:tcPr>
            <w:tcW w:w="4804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675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仿宋" w:eastAsia="仿宋"/>
                <w:sz w:val="21"/>
              </w:rPr>
            </w:pPr>
            <w:r>
              <w:rPr>
                <w:rFonts w:ascii="仿宋" w:hAnsi="仿宋" w:eastAsia="仿宋" w:cs="仿宋"/>
                <w:sz w:val="21"/>
                <w:szCs w:val="21"/>
              </w:rPr>
              <w:t>知识质量检查</w:t>
            </w:r>
          </w:p>
        </w:tc>
      </w:tr>
    </w:tbl>
    <w:p w14:paraId="1E13D7DB">
      <w:pPr>
        <w:ind w:left="0" w:leftChars="0" w:firstLine="0" w:firstLineChars="0"/>
      </w:pP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7AC740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line="360" w:lineRule="auto"/>
      <w:ind w:firstLine="1041" w:firstLineChars="200"/>
      <w:jc w:val="both"/>
    </w:pPr>
    <w:rPr>
      <w:rFonts w:ascii="仿宋" w:hAnsi="仿宋" w:eastAsia="仿宋" w:cs="仿宋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仿宋" w:hAnsi="仿宋" w:eastAsia="仿宋" w:cs="仿宋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仿宋" w:hAnsi="仿宋" w:eastAsia="仿宋" w:cs="仿宋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仿宋" w:hAnsi="仿宋" w:eastAsia="仿宋" w:cs="仿宋"/>
      <w:color w:val="1F4D78"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0">
    <w:name w:val="Title"/>
    <w:qFormat/>
    <w:uiPriority w:val="0"/>
    <w:rPr>
      <w:rFonts w:ascii="仿宋" w:hAnsi="仿宋" w:eastAsia="仿宋" w:cs="仿宋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仿宋" w:hAnsi="仿宋" w:eastAsia="仿宋" w:cs="仿宋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1964</Words>
  <Characters>2047</Characters>
  <TotalTime>8</TotalTime>
  <ScaleCrop>false</ScaleCrop>
  <LinksUpToDate>false</LinksUpToDate>
  <CharactersWithSpaces>2064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2026-04-30T06:33:00Z</dcterms:created>
  <dc:creator>Un-named</dc:creator>
  <cp:lastModifiedBy>lonsee</cp:lastModifiedBy>
  <dcterms:modified xsi:type="dcterms:W3CDTF">2026-04-30T06:46:47Z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eyJoZGlkIjoiMzEwNTM5NzYwMDRjMzkwZTVkZjY2ODkwMGIxNGU0OTUiLCJ1c2VySWQiOiIxMzQ3Mzk1NDgxIn0=</vt:lpwstr>
  </property>
  <property fmtid="{D5CDD505-2E9C-101B-9397-08002B2CF9AE}" pid="3" name="KSOProductBuildVer">
    <vt:lpwstr>2052-12.1.0.25865</vt:lpwstr>
  </property>
  <property fmtid="{D5CDD505-2E9C-101B-9397-08002B2CF9AE}" pid="4" name="ICV">
    <vt:lpwstr>5FE5399CA573419D8782675EE54F7E05_13</vt:lpwstr>
  </property>
</Properties>
</file>