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200"/>
        <w:jc w:val="center"/>
      </w:pPr>
      <w:r>
        <w:rPr>
          <w:rFonts w:ascii="Arial Unicode MS" w:cs="Arial Unicode MS" w:eastAsia="Arial Unicode MS" w:hAnsi="Arial Unicode MS"/>
          <w:b/>
          <w:bCs/>
          <w:sz w:val="40"/>
          <w:szCs w:val="40"/>
        </w:rPr>
        <w:t xml:space="preserve">客来来项目合作协议</w:t>
      </w:r>
    </w:p>
    <w:p>
      <w:pPr>
        <w:spacing w:after="320"/>
        <w:jc w:val="center"/>
      </w:pPr>
      <w:r>
        <w:rPr>
          <w:rFonts w:ascii="Arial Unicode MS" w:cs="Arial Unicode MS" w:eastAsia="Arial Unicode MS" w:hAnsi="Arial Unicode MS"/>
          <w:color w:val="555555"/>
          <w:sz w:val="24"/>
          <w:szCs w:val="24"/>
        </w:rPr>
        <w:t xml:space="preserve">（技术服务合作）</w:t>
      </w:r>
    </w:p>
    <w:tbl>
      <w:tblPr>
        <w:tblW w:type="dxa" w:w="92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66"/>
      </w:tblGrid>
      <w:tr>
        <w:tc>
          <w:tcPr>
            <w:tcW w:type="dxa" w:w="26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甲方（项目运营方）</w:t>
            </w:r>
          </w:p>
        </w:tc>
        <w:tc>
          <w:tcPr>
            <w:tcW w:type="dxa" w:w="6666"/>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成都观微数智科技有限公司</w:t>
            </w:r>
          </w:p>
        </w:tc>
      </w:tr>
      <w:tr>
        <w:tc>
          <w:tcPr>
            <w:tcW w:type="dxa" w:w="26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统一社会信用代码</w:t>
            </w:r>
          </w:p>
        </w:tc>
        <w:tc>
          <w:tcPr>
            <w:tcW w:type="dxa" w:w="6666"/>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____________________________</w:t>
            </w:r>
          </w:p>
        </w:tc>
      </w:tr>
      <w:tr>
        <w:tc>
          <w:tcPr>
            <w:tcW w:type="dxa" w:w="26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住所及联系人</w:t>
            </w:r>
          </w:p>
        </w:tc>
        <w:tc>
          <w:tcPr>
            <w:tcW w:type="dxa" w:w="6666"/>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____________________________</w:t>
            </w:r>
          </w:p>
        </w:tc>
      </w:tr>
      <w:tr>
        <w:tc>
          <w:tcPr>
            <w:tcW w:type="dxa" w:w="26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乙方（技术服务方）</w:t>
            </w:r>
          </w:p>
        </w:tc>
        <w:tc>
          <w:tcPr>
            <w:tcW w:type="dxa" w:w="6666"/>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成都修茈科技有限公司</w:t>
            </w:r>
          </w:p>
        </w:tc>
      </w:tr>
      <w:tr>
        <w:tc>
          <w:tcPr>
            <w:tcW w:type="dxa" w:w="26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统一社会信用代码</w:t>
            </w:r>
          </w:p>
        </w:tc>
        <w:tc>
          <w:tcPr>
            <w:tcW w:type="dxa" w:w="6666"/>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____________________________</w:t>
            </w:r>
          </w:p>
        </w:tc>
      </w:tr>
      <w:tr>
        <w:tc>
          <w:tcPr>
            <w:tcW w:type="dxa" w:w="26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住所及联系人</w:t>
            </w:r>
          </w:p>
        </w:tc>
        <w:tc>
          <w:tcPr>
            <w:tcW w:type="dxa" w:w="6666"/>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____________________________</w:t>
            </w:r>
          </w:p>
        </w:tc>
      </w:tr>
    </w:tbl>
    <w:p>
      <w:pPr>
        <w:keepNext w:val="false"/>
        <w:spacing w:after="110" w:before="260" w:line="360" w:lineRule="auto"/>
        <w:ind w:firstLine="440"/>
        <w:jc w:val="both"/>
      </w:pPr>
      <w:r>
        <w:rPr>
          <w:rFonts w:ascii="Arial Unicode MS" w:cs="Arial Unicode MS" w:eastAsia="Arial Unicode MS" w:hAnsi="Arial Unicode MS"/>
          <w:b w:val="false"/>
          <w:bCs w:val="false"/>
          <w:sz w:val="22"/>
          <w:szCs w:val="22"/>
        </w:rPr>
        <w:t xml:space="preserve">依据《中华人民共和国民法典》及相关法律法规，甲乙双方本着平等、自愿、公平、诚信和长期合作的原则，就“客来来”项目技术服务合作事宜达成本协议。双方确认，本协议系在充分阅读、理解并协商各项条款后签订。</w:t>
      </w:r>
    </w:p>
    <w:p>
      <w:pPr>
        <w:pStyle w:val="Heading1"/>
        <w:keepNext/>
        <w:spacing w:after="120" w:before="260"/>
      </w:pPr>
      <w:r>
        <w:rPr>
          <w:rFonts w:ascii="Arial Unicode MS" w:cs="Arial Unicode MS" w:eastAsia="Arial Unicode MS" w:hAnsi="Arial Unicode MS"/>
          <w:b/>
          <w:bCs/>
          <w:sz w:val="28"/>
          <w:szCs w:val="28"/>
        </w:rPr>
        <w:t xml:space="preserve">第一条  定义与解释</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1.1 “本项目”是指以“客来来”品牌或与其业务实质相同的方式，为客户提供私域运营、渠道接入、客户经营、智能客服、AI辅助服务及相关软件和技术服务的项目。</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1.2 “客户实收款”是指甲方或甲方指定主体、关联方在本协议约定计费周期内，因本项目实际收到的客户付款，扣除依法单独列示的增值税额、已实际退款金额及双方书面确认不属于本项目的款项。</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1.3 “项目直接成本”仅指为取得或履行具体项目收入而实际发生、凭证真实完整且可直接归属于本项目的必要成本，具体范围见第五条。</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1.4 “书面”包括双方盖章文件、经双方指定联系人确认的电子邮件、企业微信或其他可留存和核验内容的电子方式。涉及解除、终止、费用争议或知识产权处置的通知，应同时通过电子邮件及快递或专人送达。</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1.5 “工作日”是指中华人民共和国法定工作日，不包括周六、周日及法定节假日。</w:t>
      </w:r>
    </w:p>
    <w:p>
      <w:pPr>
        <w:pStyle w:val="Heading1"/>
        <w:keepNext/>
        <w:spacing w:after="120" w:before="260"/>
      </w:pPr>
      <w:r>
        <w:rPr>
          <w:rFonts w:ascii="Arial Unicode MS" w:cs="Arial Unicode MS" w:eastAsia="Arial Unicode MS" w:hAnsi="Arial Unicode MS"/>
          <w:b/>
          <w:bCs/>
          <w:sz w:val="28"/>
          <w:szCs w:val="28"/>
        </w:rPr>
        <w:t xml:space="preserve">第二条  合作期限与计费周期</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2.1 基础合作期限自2026年7月13日起至2029年7月12日止。基础合作期届满前30日，双方可协商续约；未达成书面续约协议的，基础技术服务于期限届满时终止。</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2.2 在乙方履行完毕基础合作期且不存在经书面确认仍未纠正的重大违约的前提下，本协议第五条约定的10%技术咨询费计提、披露、核对、审计及支付义务持续至2031年7月12日。基础合作期届满不影响上述条款继续有效。</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2.3 因甲方业务调整、需求暂停、项目内部审批、客户原因或其他非乙方原因造成服务暂停的，暂停期间计入乙方基础合作期限，不视为乙方未履约；暂停不影响暂停前已产生的费用以及暂停期间客户实收款对应咨询费的计提。</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2.4 甲方不得以项目更名、品牌调整、变更合同或收款主体、由关联方承接、转移客户或业务等方式规避本协议项下的咨询费计提与支付义务。项目实质业务持续的，应按本协议继续结算。</w:t>
      </w:r>
    </w:p>
    <w:p>
      <w:pPr>
        <w:pStyle w:val="Heading1"/>
        <w:keepNext/>
        <w:spacing w:after="120" w:before="260"/>
      </w:pPr>
      <w:r>
        <w:rPr>
          <w:rFonts w:ascii="Arial Unicode MS" w:cs="Arial Unicode MS" w:eastAsia="Arial Unicode MS" w:hAnsi="Arial Unicode MS"/>
          <w:b/>
          <w:bCs/>
          <w:sz w:val="28"/>
          <w:szCs w:val="28"/>
        </w:rPr>
        <w:t xml:space="preserve">第三条  合作内容与双方职责</w:t>
      </w:r>
    </w:p>
    <w:p>
      <w:pPr>
        <w:keepNext/>
        <w:spacing w:after="80" w:before="140"/>
      </w:pPr>
      <w:r>
        <w:rPr>
          <w:rFonts w:ascii="Arial Unicode MS" w:cs="Arial Unicode MS" w:eastAsia="Arial Unicode MS" w:hAnsi="Arial Unicode MS"/>
          <w:b/>
          <w:bCs/>
          <w:sz w:val="23"/>
          <w:szCs w:val="23"/>
        </w:rPr>
        <w:t xml:space="preserve">3.1 甲方职责</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3.1.1 负责本项目总体规划、产品和开发决策、需求确认、项目验收、市场运营、客户签约与回款，并承担项目正常运营所需的场地、人员、资金及第三方资源费用。</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3.1.2 按时向乙方提供真实、完整、可用的需求说明、技术资料、测试环境、接口文档、项目专用账号及必要权限，并指定有权作出需求和验收确认的项目负责人。</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3.1.3 对甲方提供的数据、内容、商标、客户授权及业务指令的合法性负责；甲方不得要求乙方实施违法违规、侵犯第三方权益或超出客户授权范围的行为。</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3.1.4 按约定完成验收、结算和付款，不得无正当理由拖延确认或拒绝接收乙方符合约定的服务成果。</w:t>
      </w:r>
    </w:p>
    <w:p>
      <w:pPr>
        <w:keepNext/>
        <w:spacing w:after="80" w:before="140"/>
      </w:pPr>
      <w:r>
        <w:rPr>
          <w:rFonts w:ascii="Arial Unicode MS" w:cs="Arial Unicode MS" w:eastAsia="Arial Unicode MS" w:hAnsi="Arial Unicode MS"/>
          <w:b/>
          <w:bCs/>
          <w:sz w:val="23"/>
          <w:szCs w:val="23"/>
        </w:rPr>
        <w:t xml:space="preserve">3.2 乙方职责</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3.2.1 按附件一提供技术咨询、接口对齐、技术建议、故障分析及约定范围内的技术支持，遵循合理、审慎的专业标准。</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3.2.2 及时向甲方提示已发现的重大技术风险、第三方平台限制、数据安全风险及可能影响成本或进度的事项。</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3.2.3 未经甲方书面授权，乙方不以甲方名义对外作出商务承诺、签署合同、收取客户款项或变更项目运营规则。</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3.2.4 除双方另行签署书面变更单外，乙方不承担7×24小时驻场运维、全量产品开发、全部渠道开户注册、甲方或第三方遗留系统改造以及附件一明确排除的工作。</w:t>
      </w:r>
    </w:p>
    <w:p>
      <w:pPr>
        <w:pStyle w:val="Heading1"/>
        <w:keepNext/>
        <w:spacing w:after="120" w:before="260"/>
      </w:pPr>
      <w:r>
        <w:rPr>
          <w:rFonts w:ascii="Arial Unicode MS" w:cs="Arial Unicode MS" w:eastAsia="Arial Unicode MS" w:hAnsi="Arial Unicode MS"/>
          <w:b/>
          <w:bCs/>
          <w:sz w:val="28"/>
          <w:szCs w:val="28"/>
        </w:rPr>
        <w:t xml:space="preserve">第四条  需求、变更与验收</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4.1 甲方应以书面形式提出需求，至少说明目标、范围、优先级、预期时间、验收标准及甲方需配合的事项。需求信息不足的，乙方有权要求补充，相关期限自资料齐备之日起计算。</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4.2 超出附件一范围的新增功能、重大改造、现场服务、紧急加班或第三方专项对接，应由双方签署变更单，明确范围、费用、排期、验收标准及知识产权归属后实施。乙方未书面确认的，不视为已承诺交付。</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4.3 乙方提交可验收成果后，甲方应在5个工作日内完成验收。甲方认为不符合约定的，应一次性书面列明与验收标准不符的具体事项及依据；逾期未反馈，或成果已上线、投入商业使用的，视为验收通过。</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4.4 不影响主要功能使用的一般性瑕疵不构成拒绝验收的理由，乙方应在双方确认的合理期限内修正。</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4.5 因甲方迟延提供资料、环境、权限、决策或测试反馈，或因客户、第三方平台、网络、云服务等非乙方可控制因素影响进度的，乙方履行期限相应顺延，不承担逾期责任。</w:t>
      </w:r>
    </w:p>
    <w:p>
      <w:pPr>
        <w:pStyle w:val="Heading1"/>
        <w:keepNext/>
        <w:spacing w:after="120" w:before="260"/>
      </w:pPr>
      <w:r>
        <w:rPr>
          <w:rFonts w:ascii="Arial Unicode MS" w:cs="Arial Unicode MS" w:eastAsia="Arial Unicode MS" w:hAnsi="Arial Unicode MS"/>
          <w:b/>
          <w:bCs/>
          <w:sz w:val="28"/>
          <w:szCs w:val="28"/>
        </w:rPr>
        <w:t xml:space="preserve">第五条  技术咨询费及结算</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5.1 技术咨询费按季度计提，计算公式为：当季度技术咨询费＝（当季度客户实收款－经双方确认的项目直接成本）×10%。该咨询费为含税金额，乙方应依法开具相应发票。未实际回款的客户应收款不计入当期，实际回款后计入回款季度。</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5.2 可扣除的项目直接成本限于：项目专用云资源费、渠道认证及平台服务费、经甲方批准的AI模型或API调用费、经甲方批准的差旅费，以及双方事前书面确认的其他第三方直接支出。</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5.3 下列费用不得直接冲减计提基数，除非乙方另行书面同意：甲方一般管理费用、非项目专属人员工资和社保、办公场地及固定资产折旧、融资成本、税务罚款及其他罚款、关联方加价、与本项目无关的费用，以及缺少真实有效凭证的支出。</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5.4 每季度结束后15日内，甲方应向乙方提交客户回款明细、费用计算清单及必要的合同、发票、银行回款和成本凭证。乙方应在收到完整资料后7日内提出书面异议；无异议的，视为确认，但不免除甲方对资料真实性和完整性的责任。</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5.5 存在结算争议的，甲方应先按无争议金额付款。双方应在10个工作日内共同核对；仍不能解决的，可委托双方认可的会计师事务所核验。</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5.6 乙方提供合法有效发票后，甲方应在10个工作日内支付。甲方未按时提交结算资料或支付款项的，每逾期一日按应付未付金额的0.05%支付违约金，累计不超过该笔应付款的10%；逾期超过15个工作日，乙方有权暂停新增服务，暂停不构成乙方违约。</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5.7 乙方每个自然年度可自行或委托专业机构对本项目结算资料进行一次核验，并对查阅资料承担保密义务。核验发现少付金额达到应付金额5%以上的，甲方应补足款项、承担合理核验费用并按本条承担逾期付款责任。</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5.8 当季度计提结果为零时，乙方仍按附件一提供每月不超过8小时的基础咨询及必要故障协助；超出部分或新增开发工作，应按第四条另行确认。</w:t>
      </w:r>
    </w:p>
    <w:p>
      <w:pPr>
        <w:pStyle w:val="Heading1"/>
        <w:keepNext/>
        <w:spacing w:after="120" w:before="260"/>
      </w:pPr>
      <w:r>
        <w:rPr>
          <w:rFonts w:ascii="Arial Unicode MS" w:cs="Arial Unicode MS" w:eastAsia="Arial Unicode MS" w:hAnsi="Arial Unicode MS"/>
          <w:b/>
          <w:bCs/>
          <w:sz w:val="28"/>
          <w:szCs w:val="28"/>
        </w:rPr>
        <w:t xml:space="preserve">第六条  AI调用、差旅及其他费用</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6.1 本项目第三方API、大模型及Token调用原则上使用甲方所有或控制的项目专用账号，由甲方直接支付。确需乙方垫付的，甲方应在收到合规凭证后10个工作日内报销。</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6.2 Token费用以每月不超过1,000元为控制目标、2,000元为未经追加批准的上限。乙方应配置合理的预算提醒和用量监控。因甲方新增需求、经批准的业务增长、第三方价格调整、网络攻击或其他非乙方过错导致超额的，由甲方承担；因乙方故意或重大过失且未采取合理控制措施造成的未经批准超额部分，由乙方承担。</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6.3 单次超过500元或月度累计预计超过2,000元的差旅及其他项目支出，乙方应事前取得甲方书面批准。甲方应在收到完整报销材料后7个工作日内完成审核，并在审核通过后10个工作日内支付。</w:t>
      </w:r>
    </w:p>
    <w:p>
      <w:pPr>
        <w:pStyle w:val="Heading1"/>
        <w:keepNext/>
        <w:spacing w:after="120" w:before="260"/>
      </w:pPr>
      <w:r>
        <w:rPr>
          <w:rFonts w:ascii="Arial Unicode MS" w:cs="Arial Unicode MS" w:eastAsia="Arial Unicode MS" w:hAnsi="Arial Unicode MS"/>
          <w:b/>
          <w:bCs/>
          <w:sz w:val="28"/>
          <w:szCs w:val="28"/>
        </w:rPr>
        <w:t xml:space="preserve">第七条  知识产权</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7.1 双方在本协议签订前已经拥有或独立形成的代码、软件、接口、算法、模型、工具、文档、商标、专利、技术秘密、方法和经验，仍归原权利人所有。</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7.2 乙方在履行本协议过程中专门为本项目定制、在附件或变更单中明确列为交付物且甲方已支付对应全部费用的成果，其可转让的知识产权归甲方所有。法律规定不能转让的权利除外，乙方应在合理范围内配合甲方办理登记。</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7.3 乙方的通用框架、底层工具、可复用组件、通用接口、算法思路、开发方法、技术经验及不含甲方保密信息的通用改进不因本协议转让。若前述乙方背景知识产权嵌入项目交付物，乙方授予甲方在本项目范围内永久、不可撤销、免额外许可费的使用权。</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7.4 交付物涉及开源软件或第三方材料的，乙方应合理披露其名称及适用许可；该等内容按原许可使用，不属于甲方单独所有。</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7.5 一方提供的材料、指令或技术侵犯第三方权利并造成对方损失的，由提供方依法承担相应责任；收到第三方主张的一方应及时通知并允许责任方参与处理。</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7.6 “客来来”商标及甲方提供的品牌资产归甲方所有。乙方仅在履行本协议必要范围内使用，未经甲方书面同意不得对外使用或注册近似标识。</w:t>
      </w:r>
    </w:p>
    <w:p>
      <w:pPr>
        <w:pStyle w:val="Heading1"/>
        <w:keepNext/>
        <w:spacing w:after="120" w:before="260"/>
      </w:pPr>
      <w:r>
        <w:rPr>
          <w:rFonts w:ascii="Arial Unicode MS" w:cs="Arial Unicode MS" w:eastAsia="Arial Unicode MS" w:hAnsi="Arial Unicode MS"/>
          <w:b/>
          <w:bCs/>
          <w:sz w:val="28"/>
          <w:szCs w:val="28"/>
        </w:rPr>
        <w:t xml:space="preserve">第八条  保密与数据保护</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8.1 双方对在合作中知悉的对方非公开技术信息、经营信息、客户信息、价格、账号及本协议商业条款承担保密义务，仅可为履行本协议向确有必要知悉且承担不低于本协议保密义务的员工、顾问或分包方披露。</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8.2 下列信息不属于保密信息：接收方能够证明在披露前已合法掌握的信息；非因接收方原因已公开的信息；从有权披露的第三方合法取得的信息；接收方未使用对方保密信息而独立开发的信息。因法律或监管要求必须披露的，应在法律允许范围内提前通知对方。</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8.3 一般保密义务自信息披露之日起持续5年；构成商业秘密的，保密义务持续至该信息依法公开或不再构成商业秘密之日。</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8.4 涉及客户、联系人、订单、交易、消息、日志等个人信息和业务数据时，甲方为个人信息处理者或数据委托方，乙方仅按甲方合法书面指令，在提供技术支持、接口调试和故障排查所必需的范围内处理。</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8.5 甲方负责确保数据来源、收集授权、隐私告知和处理目的合法；乙方应采取访问控制、最小权限、传输和存储保护、操作留痕等合理措施，不得将数据用于自身营销、模型训练或与本协议无关的用途。</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8.6 未经甲方书面同意，乙方不得将受托数据转委托给其他主体处理。经甲方批准使用的云服务、AI平台或API提供方，应在附件三或书面清单中列明，并仅传输实现目的所必需的数据。</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8.7 发生或可能发生数据泄露、篡改、丢失、越权访问等安全事件时，知悉方应立即采取补救措施，并在24小时内通知对方，共同完成调查、处置、通知和报告。</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8.8 委托处理目的实现或本协议终止后，乙方应根据甲方书面要求在10个工作日内返还或删除相关数据，但法律法规要求保留或为争议解决所必需的最小范围数据除外。</w:t>
      </w:r>
    </w:p>
    <w:p>
      <w:pPr>
        <w:pStyle w:val="Heading1"/>
        <w:keepNext/>
        <w:spacing w:after="120" w:before="260"/>
      </w:pPr>
      <w:r>
        <w:rPr>
          <w:rFonts w:ascii="Arial Unicode MS" w:cs="Arial Unicode MS" w:eastAsia="Arial Unicode MS" w:hAnsi="Arial Unicode MS"/>
          <w:b/>
          <w:bCs/>
          <w:sz w:val="28"/>
          <w:szCs w:val="28"/>
        </w:rPr>
        <w:t xml:space="preserve">第九条  暂停、解除与终止</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9.1 一方发生重大违约时，守约方应书面说明违约事实和整改要求，并给予10个工作日的合理整改期；逾期未整改且导致合同目的不能实现的，守约方有权解除本协议。对无法补救的严重数据泄露、恶意侵权或违法行为，守约方可立即解除。</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9.2 甲方认为乙方服务不符合附件一标准的，应先按第9.1条整改程序处理。仅凭主观“不满意”不得无限期暂停合作。因重大故障确需暂停的，暂停范围应以控制风险所必需为限，最长不超过30日，且不影响已产生费用的结算。</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9.3 甲方逾期付款超过15个工作日，乙方催告后仍未支付的，乙方可暂停服务；逾期超过30个工作日的，乙方可解除本协议，甲方仍应支付全部已产生费用及违约金。</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9.4 项目连续两个完整季度经营性现金流为负，或因政策、监管、核心渠道永久关闭等原因确已不具备持续运营条件的，甲方可提前30日向乙方提交书面说明和必要依据后终止项目。双方应结清截至终止日已经产生但尚未确认的咨询费和合规费用。项目在计费周期内恢复、由关联方承接或以实质相同方式继续经营的，咨询费计提义务随之恢复。</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9.5 乙方在基础合作期内无正当理由主动退出的，应提前30日通知甲方并完成合理交接；乙方保留退出前已经取得及应取得的服务报酬，但不再享有第2.2条约定的基础合作期满后持续计提权。</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9.6 甲方在乙方无重大违约且项目继续运营的情况下提前终止合作，乙方完成交接后不再承担服务义务，但10%咨询费仍计提至原基础合作期届满；双方也可另行书面约定一次性买断。</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9.7 协议终止后10个工作日内，双方应完成费用核对和项目资产交接。乙方仅移交甲方所有或项目专用的资料、源代码、文档、账号和权限，不移交乙方或乙方人员的私人账号、与项目无关的资料及乙方背景知识产权。</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9.8 乙方提供不超过16小时的正常交接协助；超出部分或终止后新增支持，由双方另行确认费用。协议终止不构成对乙方从事同类技术服务的一般性限制，但乙方不得使用甲方保密信息不当争夺甲方客户或干扰项目正常运营。</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9.9 任何终止均不溯及既往。乙方已完成并经约定验收或视为验收的服务所对应咨询费属于已取得报酬，除双方另有书面结算协议外，乙方无需返还。</w:t>
      </w:r>
    </w:p>
    <w:p>
      <w:pPr>
        <w:pStyle w:val="Heading1"/>
        <w:keepNext/>
        <w:spacing w:after="120" w:before="260"/>
      </w:pPr>
      <w:r>
        <w:rPr>
          <w:rFonts w:ascii="Arial Unicode MS" w:cs="Arial Unicode MS" w:eastAsia="Arial Unicode MS" w:hAnsi="Arial Unicode MS"/>
          <w:b/>
          <w:bCs/>
          <w:sz w:val="28"/>
          <w:szCs w:val="28"/>
        </w:rPr>
        <w:t xml:space="preserve">第十条  违约责任与责任限制</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10.1 一方违反本协议，应采取补救措施；造成对方损失的，应赔偿与违约行为具有直接因果关系、在订约时可以合理预见且有充分证据证明的实际损失。受损方应采取合理措施防止损失扩大。</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10.2 因乙方原因未按双方书面确认的期限完成服务，经甲方催告后仍逾期的，每逾期一日按受影响服务对应当期咨询费的0.05%支付违约金，累计不超过该部分咨询费的10%。因甲方或第三方原因造成的顺延不适用本条。</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10.3 除一方故意或重大过失、侵犯第三方知识产权、违反保密或数据安全义务外，任一方在本协议项下累计赔偿责任不超过违约发生前12个月甲方已付及应付乙方咨询费总额；知识产权、保密及数据安全责任的累计上限为前述金额的两倍。法律明确规定不得限制的责任除外。</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10.4 除故意或重大过失外，任何一方均不对间接损失、惩罚性损失、预期利润损失、商誉损失或第三方扩大损失承担责任。</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10.5 同一违约事实同时触发违约金和损失赔偿的，已支付违约金应计入损失赔偿总额，守约方不得重复受偿。</w:t>
      </w:r>
    </w:p>
    <w:p>
      <w:pPr>
        <w:pStyle w:val="Heading1"/>
        <w:keepNext/>
        <w:spacing w:after="120" w:before="260"/>
      </w:pPr>
      <w:r>
        <w:rPr>
          <w:rFonts w:ascii="Arial Unicode MS" w:cs="Arial Unicode MS" w:eastAsia="Arial Unicode MS" w:hAnsi="Arial Unicode MS"/>
          <w:b/>
          <w:bCs/>
          <w:sz w:val="28"/>
          <w:szCs w:val="28"/>
        </w:rPr>
        <w:t xml:space="preserve">第十一条  不可抗力</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11.1 因地震、洪水、火灾、战争、重大公共卫生事件、政府行为、全国性或区域性通信故障、核心第三方平台非正常中断等不能预见、不能避免且不能克服的事件导致不能履行的，受影响方在影响范围内部分或全部免责。</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11.2 受影响方应在合理期限内通知对方并提供证明，采取措施减轻损失。不可抗力持续超过30日且合同目的无法实现的，任一方可书面终止，双方按实际履行情况结算。</w:t>
      </w:r>
    </w:p>
    <w:p>
      <w:pPr>
        <w:pStyle w:val="Heading1"/>
        <w:keepNext/>
        <w:spacing w:after="120" w:before="260"/>
      </w:pPr>
      <w:r>
        <w:rPr>
          <w:rFonts w:ascii="Arial Unicode MS" w:cs="Arial Unicode MS" w:eastAsia="Arial Unicode MS" w:hAnsi="Arial Unicode MS"/>
          <w:b/>
          <w:bCs/>
          <w:sz w:val="28"/>
          <w:szCs w:val="28"/>
        </w:rPr>
        <w:t xml:space="preserve">第十二条  其他约定</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12.1 双方为独立合同主体。本协议不构成劳动关系、合伙、合资、代理或双方相互担保关系。乙方自行负责其人员管理及依法应承担的税费和社会保障责任。</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12.2 未经对方书面同意，任何一方不得转让本协议主要权利义务。甲方转让本项目、客户合同或核心资产的，应确保受让方书面承继本协议相关结算、计提、保密和数据义务；未完成承继的，甲方仍承担责任。</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12.3 本协议履行过程中发生争议，双方应先协商解决；自一方书面提出协商之日起15日内未能解决的，任一方可向被告住所地有管辖权的人民法院提起诉讼。</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12.4 本协议附件、经双方确认的需求单、验收单和变更单均为本协议组成部分。约定不一致的，按形成时间较后的专项书面文件优先适用；但涉及咨询费比例、计费周期、责任上限或知识产权归属的变更，须由双方盖章确认。</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12.5 本协议部分条款无效或不能执行，不影响其他条款效力。双方应以合法且最接近原商业目的的条款替代。</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12.6 本协议一式两份，甲乙双方各执一份，自双方盖章之日起生效。依法有效的电子签署文本与纸质文本具有同等效力。</w:t>
      </w:r>
    </w:p>
    <w:p>
      <w:r>
        <w:br w:type="page"/>
      </w:r>
    </w:p>
    <w:p>
      <w:pPr>
        <w:spacing w:after="260"/>
        <w:jc w:val="center"/>
      </w:pPr>
      <w:r>
        <w:rPr>
          <w:rFonts w:ascii="Arial Unicode MS" w:cs="Arial Unicode MS" w:eastAsia="Arial Unicode MS" w:hAnsi="Arial Unicode MS"/>
          <w:b/>
          <w:bCs/>
          <w:sz w:val="32"/>
          <w:szCs w:val="32"/>
        </w:rPr>
        <w:t xml:space="preserve">签署页</w:t>
      </w:r>
    </w:p>
    <w:p>
      <w:pPr>
        <w:keepNext w:val="false"/>
        <w:spacing w:after="300" w:before="0" w:line="360" w:lineRule="auto"/>
        <w:ind w:firstLine="0"/>
        <w:jc w:val="center"/>
      </w:pPr>
      <w:r>
        <w:rPr>
          <w:rFonts w:ascii="Arial Unicode MS" w:cs="Arial Unicode MS" w:eastAsia="Arial Unicode MS" w:hAnsi="Arial Unicode MS"/>
          <w:b w:val="false"/>
          <w:bCs w:val="false"/>
          <w:sz w:val="22"/>
          <w:szCs w:val="22"/>
        </w:rPr>
        <w:t xml:space="preserve">（以下无正文，为《客来来项目合作协议》签署页。）</w:t>
      </w:r>
    </w:p>
    <w:tbl>
      <w:tblPr>
        <w:tblW w:type="dxa" w:w="92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33"/>
        <w:gridCol w:w="4633"/>
      </w:tblGrid>
      <w:tr>
        <w:tc>
          <w:tcPr>
            <w:tcW w:type="dxa" w:w="4633"/>
            <w:tcBorders>
              <w:top w:val="none" w:color="FFFFFF" w:sz="0"/>
              <w:left w:val="none" w:color="FFFFFF" w:sz="0"/>
              <w:bottom w:val="none" w:color="FFFFFF" w:sz="0"/>
              <w:right w:val="none" w:color="FFFFFF" w:sz="0"/>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bCs/>
                <w:sz w:val="20"/>
                <w:szCs w:val="20"/>
              </w:rPr>
              <w:t xml:space="preserve">甲方：成都观微数智科技有限公司</w:t>
            </w:r>
          </w:p>
        </w:tc>
        <w:tc>
          <w:tcPr>
            <w:tcW w:type="dxa" w:w="4633"/>
            <w:tcBorders>
              <w:top w:val="none" w:color="FFFFFF" w:sz="0"/>
              <w:left w:val="none" w:color="FFFFFF" w:sz="0"/>
              <w:bottom w:val="none" w:color="FFFFFF" w:sz="0"/>
              <w:right w:val="none" w:color="FFFFFF" w:sz="0"/>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bCs/>
                <w:sz w:val="20"/>
                <w:szCs w:val="20"/>
              </w:rPr>
              <w:t xml:space="preserve">乙方：成都修茈科技有限公司</w:t>
            </w:r>
          </w:p>
        </w:tc>
      </w:tr>
      <w:tr>
        <w:trPr>
          <w:trHeight w:val="900"/>
        </w:trPr>
        <w:tc>
          <w:tcPr>
            <w:tcW w:type="dxa" w:w="4633"/>
            <w:tcBorders>
              <w:top w:val="none" w:color="FFFFFF" w:sz="0"/>
              <w:left w:val="none" w:color="FFFFFF" w:sz="0"/>
              <w:bottom w:val="none" w:color="FFFFFF" w:sz="0"/>
              <w:right w:val="none" w:color="FFFFFF" w:sz="0"/>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（盖章）</w:t>
            </w:r>
          </w:p>
        </w:tc>
        <w:tc>
          <w:tcPr>
            <w:tcW w:type="dxa" w:w="4633"/>
            <w:tcBorders>
              <w:top w:val="none" w:color="FFFFFF" w:sz="0"/>
              <w:left w:val="none" w:color="FFFFFF" w:sz="0"/>
              <w:bottom w:val="none" w:color="FFFFFF" w:sz="0"/>
              <w:right w:val="none" w:color="FFFFFF" w:sz="0"/>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（盖章）</w:t>
            </w:r>
          </w:p>
        </w:tc>
      </w:tr>
      <w:tr>
        <w:tc>
          <w:tcPr>
            <w:tcW w:type="dxa" w:w="4633"/>
            <w:tcBorders>
              <w:top w:val="none" w:color="FFFFFF" w:sz="0"/>
              <w:left w:val="none" w:color="FFFFFF" w:sz="0"/>
              <w:bottom w:val="none" w:color="FFFFFF" w:sz="0"/>
              <w:right w:val="none" w:color="FFFFFF" w:sz="0"/>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法定代表人/授权代表：____________</w:t>
            </w:r>
          </w:p>
        </w:tc>
        <w:tc>
          <w:tcPr>
            <w:tcW w:type="dxa" w:w="4633"/>
            <w:tcBorders>
              <w:top w:val="none" w:color="FFFFFF" w:sz="0"/>
              <w:left w:val="none" w:color="FFFFFF" w:sz="0"/>
              <w:bottom w:val="none" w:color="FFFFFF" w:sz="0"/>
              <w:right w:val="none" w:color="FFFFFF" w:sz="0"/>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法定代表人/授权代表：____________</w:t>
            </w:r>
          </w:p>
        </w:tc>
      </w:tr>
      <w:tr>
        <w:tc>
          <w:tcPr>
            <w:tcW w:type="dxa" w:w="4633"/>
            <w:tcBorders>
              <w:top w:val="none" w:color="FFFFFF" w:sz="0"/>
              <w:left w:val="none" w:color="FFFFFF" w:sz="0"/>
              <w:bottom w:val="none" w:color="FFFFFF" w:sz="0"/>
              <w:right w:val="none" w:color="FFFFFF" w:sz="0"/>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签订日期：______年____月____日</w:t>
            </w:r>
          </w:p>
        </w:tc>
        <w:tc>
          <w:tcPr>
            <w:tcW w:type="dxa" w:w="4633"/>
            <w:tcBorders>
              <w:top w:val="none" w:color="FFFFFF" w:sz="0"/>
              <w:left w:val="none" w:color="FFFFFF" w:sz="0"/>
              <w:bottom w:val="none" w:color="FFFFFF" w:sz="0"/>
              <w:right w:val="none" w:color="FFFFFF" w:sz="0"/>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签订日期：______年____月____日</w:t>
            </w:r>
          </w:p>
        </w:tc>
      </w:tr>
      <w:tr>
        <w:tc>
          <w:tcPr>
            <w:tcW w:type="dxa" w:w="4633"/>
            <w:tcBorders>
              <w:top w:val="none" w:color="FFFFFF" w:sz="0"/>
              <w:left w:val="none" w:color="FFFFFF" w:sz="0"/>
              <w:bottom w:val="none" w:color="FFFFFF" w:sz="0"/>
              <w:right w:val="none" w:color="FFFFFF" w:sz="0"/>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指定邮箱：________________________</w:t>
            </w:r>
          </w:p>
        </w:tc>
        <w:tc>
          <w:tcPr>
            <w:tcW w:type="dxa" w:w="4633"/>
            <w:tcBorders>
              <w:top w:val="none" w:color="FFFFFF" w:sz="0"/>
              <w:left w:val="none" w:color="FFFFFF" w:sz="0"/>
              <w:bottom w:val="none" w:color="FFFFFF" w:sz="0"/>
              <w:right w:val="none" w:color="FFFFFF" w:sz="0"/>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指定邮箱：________________________</w:t>
            </w:r>
          </w:p>
        </w:tc>
      </w:tr>
    </w:tbl>
    <w:p>
      <w:r>
        <w:br w:type="page"/>
      </w:r>
    </w:p>
    <w:p>
      <w:pPr>
        <w:spacing w:after="220"/>
        <w:jc w:val="center"/>
      </w:pPr>
      <w:r>
        <w:rPr>
          <w:rFonts w:ascii="Arial Unicode MS" w:cs="Arial Unicode MS" w:eastAsia="Arial Unicode MS" w:hAnsi="Arial Unicode MS"/>
          <w:b/>
          <w:bCs/>
          <w:sz w:val="32"/>
          <w:szCs w:val="32"/>
        </w:rPr>
        <w:t xml:space="preserve">附件一：技术服务范围与服务标准</w:t>
      </w:r>
    </w:p>
    <w:tbl>
      <w:tblPr>
        <w:tblW w:type="dxa" w:w="92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900"/>
        <w:gridCol w:w="3666"/>
      </w:tblGrid>
      <w:tr>
        <w:trPr>
          <w:tblHeader/>
        </w:trPr>
        <w:tc>
          <w:tcPr>
            <w:tcW w:type="dxa" w:w="1700"/>
            <w:tcBorders>
              <w:top w:val="single" w:color="A6A6A6" w:sz="4"/>
              <w:left w:val="single" w:color="A6A6A6" w:sz="4"/>
              <w:bottom w:val="single" w:color="A6A6A6" w:sz="4"/>
              <w:right w:val="single" w:color="A6A6A6" w:sz="4"/>
            </w:tcBorders>
            <w:shd w:fill="D9EAF7" w:val="clear"/>
            <w:tcMar>
              <w:top w:type="dxa" w:w="100"/>
              <w:left w:type="dxa" w:w="130"/>
              <w:bottom w:type="dxa" w:w="100"/>
              <w:right w:type="dxa" w:w="130"/>
            </w:tcMar>
            <w:vAlign w:val="center"/>
          </w:tcPr>
          <w:p>
            <w:pPr>
              <w:spacing w:after="0" w:line="300" w:lineRule="auto"/>
              <w:jc w:val="center"/>
            </w:pPr>
            <w:r>
              <w:rPr>
                <w:rFonts w:ascii="Arial Unicode MS" w:cs="Arial Unicode MS" w:eastAsia="Arial Unicode MS" w:hAnsi="Arial Unicode MS"/>
                <w:b/>
                <w:bCs/>
                <w:sz w:val="20"/>
                <w:szCs w:val="20"/>
              </w:rPr>
              <w:t xml:space="preserve">服务项目</w:t>
            </w:r>
          </w:p>
        </w:tc>
        <w:tc>
          <w:tcPr>
            <w:tcW w:type="dxa" w:w="3900"/>
            <w:tcBorders>
              <w:top w:val="single" w:color="A6A6A6" w:sz="4"/>
              <w:left w:val="single" w:color="A6A6A6" w:sz="4"/>
              <w:bottom w:val="single" w:color="A6A6A6" w:sz="4"/>
              <w:right w:val="single" w:color="A6A6A6" w:sz="4"/>
            </w:tcBorders>
            <w:shd w:fill="D9EAF7" w:val="clear"/>
            <w:tcMar>
              <w:top w:type="dxa" w:w="100"/>
              <w:left w:type="dxa" w:w="130"/>
              <w:bottom w:type="dxa" w:w="100"/>
              <w:right w:type="dxa" w:w="130"/>
            </w:tcMar>
            <w:vAlign w:val="center"/>
          </w:tcPr>
          <w:p>
            <w:pPr>
              <w:spacing w:after="0" w:line="300" w:lineRule="auto"/>
              <w:jc w:val="center"/>
            </w:pPr>
            <w:r>
              <w:rPr>
                <w:rFonts w:ascii="Arial Unicode MS" w:cs="Arial Unicode MS" w:eastAsia="Arial Unicode MS" w:hAnsi="Arial Unicode MS"/>
                <w:b/>
                <w:bCs/>
                <w:sz w:val="20"/>
                <w:szCs w:val="20"/>
              </w:rPr>
              <w:t xml:space="preserve">包含内容</w:t>
            </w:r>
          </w:p>
        </w:tc>
        <w:tc>
          <w:tcPr>
            <w:tcW w:type="dxa" w:w="3666"/>
            <w:tcBorders>
              <w:top w:val="single" w:color="A6A6A6" w:sz="4"/>
              <w:left w:val="single" w:color="A6A6A6" w:sz="4"/>
              <w:bottom w:val="single" w:color="A6A6A6" w:sz="4"/>
              <w:right w:val="single" w:color="A6A6A6" w:sz="4"/>
            </w:tcBorders>
            <w:shd w:fill="D9EAF7" w:val="clear"/>
            <w:tcMar>
              <w:top w:type="dxa" w:w="100"/>
              <w:left w:type="dxa" w:w="130"/>
              <w:bottom w:type="dxa" w:w="100"/>
              <w:right w:type="dxa" w:w="130"/>
            </w:tcMar>
            <w:vAlign w:val="center"/>
          </w:tcPr>
          <w:p>
            <w:pPr>
              <w:spacing w:after="0" w:line="300" w:lineRule="auto"/>
              <w:jc w:val="center"/>
            </w:pPr>
            <w:r>
              <w:rPr>
                <w:rFonts w:ascii="Arial Unicode MS" w:cs="Arial Unicode MS" w:eastAsia="Arial Unicode MS" w:hAnsi="Arial Unicode MS"/>
                <w:b/>
                <w:bCs/>
                <w:sz w:val="20"/>
                <w:szCs w:val="20"/>
              </w:rPr>
              <w:t xml:space="preserve">服务边界/标准</w:t>
            </w:r>
          </w:p>
        </w:tc>
      </w:tr>
      <w:tr>
        <w:tc>
          <w:tcPr>
            <w:tcW w:type="dxa" w:w="17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技术咨询</w:t>
            </w:r>
          </w:p>
        </w:tc>
        <w:tc>
          <w:tcPr>
            <w:tcW w:type="dxa" w:w="39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就项目架构、接口、部署、故障及技术路线提供意见和书面建议。</w:t>
            </w:r>
          </w:p>
        </w:tc>
        <w:tc>
          <w:tcPr>
            <w:tcW w:type="dxa" w:w="3666"/>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正常计提季度每月不超过20小时；计提为零的季度每月不超过8小时；未使用额度不累计。</w:t>
            </w:r>
          </w:p>
        </w:tc>
      </w:tr>
      <w:tr>
        <w:tc>
          <w:tcPr>
            <w:tcW w:type="dxa" w:w="17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接口对齐</w:t>
            </w:r>
          </w:p>
        </w:tc>
        <w:tc>
          <w:tcPr>
            <w:tcW w:type="dxa" w:w="39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配合甲方及甲方指定开发人员进行已有接口说明、联调和问题定位。</w:t>
            </w:r>
          </w:p>
        </w:tc>
        <w:tc>
          <w:tcPr>
            <w:tcW w:type="dxa" w:w="3666"/>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不包括从零开发全部业务系统、第三方平台开户注册及第三方收费服务。</w:t>
            </w:r>
          </w:p>
        </w:tc>
      </w:tr>
      <w:tr>
        <w:tc>
          <w:tcPr>
            <w:tcW w:type="dxa" w:w="17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技术支持</w:t>
            </w:r>
          </w:p>
        </w:tc>
        <w:tc>
          <w:tcPr>
            <w:tcW w:type="dxa" w:w="39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对乙方负责或双方明确由乙方支持的部分进行分析、建议和合理修复协助。</w:t>
            </w:r>
          </w:p>
        </w:tc>
        <w:tc>
          <w:tcPr>
            <w:tcW w:type="dxa" w:w="3666"/>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工作日9:00—18:00远程服务；现场或非工作时间服务需另行书面确认。</w:t>
            </w:r>
          </w:p>
        </w:tc>
      </w:tr>
      <w:tr>
        <w:tc>
          <w:tcPr>
            <w:tcW w:type="dxa" w:w="17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文档交付</w:t>
            </w:r>
          </w:p>
        </w:tc>
        <w:tc>
          <w:tcPr>
            <w:tcW w:type="dxa" w:w="39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按实际工作范围提供必要的接口说明、配置说明、问题记录和交接文档。</w:t>
            </w:r>
          </w:p>
        </w:tc>
        <w:tc>
          <w:tcPr>
            <w:tcW w:type="dxa" w:w="3666"/>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以可维护和可交接为原则，不包括与本项目无关的乙方内部资料。</w:t>
            </w:r>
          </w:p>
        </w:tc>
      </w:tr>
      <w:tr>
        <w:tc>
          <w:tcPr>
            <w:tcW w:type="dxa" w:w="17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新增开发</w:t>
            </w:r>
          </w:p>
        </w:tc>
        <w:tc>
          <w:tcPr>
            <w:tcW w:type="dxa" w:w="39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新功能、重大改造、新渠道专项接入或客户定制开发。</w:t>
            </w:r>
          </w:p>
        </w:tc>
        <w:tc>
          <w:tcPr>
            <w:tcW w:type="dxa" w:w="3666"/>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不在基础服务范围内，须签署变更单，另行约定费用、进度和验收。</w:t>
            </w:r>
          </w:p>
        </w:tc>
      </w:tr>
    </w:tbl>
    <w:p>
      <w:pPr>
        <w:keepNext/>
        <w:spacing w:after="80" w:before="140"/>
      </w:pPr>
      <w:r>
        <w:rPr>
          <w:rFonts w:ascii="Arial Unicode MS" w:cs="Arial Unicode MS" w:eastAsia="Arial Unicode MS" w:hAnsi="Arial Unicode MS"/>
          <w:b/>
          <w:bCs/>
          <w:sz w:val="23"/>
          <w:szCs w:val="23"/>
        </w:rPr>
        <w:t xml:space="preserve">一、故障分级与响应</w:t>
      </w:r>
    </w:p>
    <w:tbl>
      <w:tblPr>
        <w:tblW w:type="dxa" w:w="92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000"/>
        <w:gridCol w:w="1700"/>
        <w:gridCol w:w="3066"/>
      </w:tblGrid>
      <w:tr>
        <w:trPr>
          <w:tblHeader/>
        </w:trPr>
        <w:tc>
          <w:tcPr>
            <w:tcW w:type="dxa" w:w="1500"/>
            <w:tcBorders>
              <w:top w:val="single" w:color="A6A6A6" w:sz="4"/>
              <w:left w:val="single" w:color="A6A6A6" w:sz="4"/>
              <w:bottom w:val="single" w:color="A6A6A6" w:sz="4"/>
              <w:right w:val="single" w:color="A6A6A6" w:sz="4"/>
            </w:tcBorders>
            <w:shd w:fill="D9EAF7" w:val="clear"/>
            <w:tcMar>
              <w:top w:type="dxa" w:w="100"/>
              <w:left w:type="dxa" w:w="130"/>
              <w:bottom w:type="dxa" w:w="100"/>
              <w:right w:type="dxa" w:w="130"/>
            </w:tcMar>
            <w:vAlign w:val="center"/>
          </w:tcPr>
          <w:p>
            <w:pPr>
              <w:spacing w:after="0" w:line="300" w:lineRule="auto"/>
              <w:jc w:val="center"/>
            </w:pPr>
            <w:r>
              <w:rPr>
                <w:rFonts w:ascii="Arial Unicode MS" w:cs="Arial Unicode MS" w:eastAsia="Arial Unicode MS" w:hAnsi="Arial Unicode MS"/>
                <w:b/>
                <w:bCs/>
                <w:sz w:val="20"/>
                <w:szCs w:val="20"/>
              </w:rPr>
              <w:t xml:space="preserve">级别</w:t>
            </w:r>
          </w:p>
        </w:tc>
        <w:tc>
          <w:tcPr>
            <w:tcW w:type="dxa" w:w="3000"/>
            <w:tcBorders>
              <w:top w:val="single" w:color="A6A6A6" w:sz="4"/>
              <w:left w:val="single" w:color="A6A6A6" w:sz="4"/>
              <w:bottom w:val="single" w:color="A6A6A6" w:sz="4"/>
              <w:right w:val="single" w:color="A6A6A6" w:sz="4"/>
            </w:tcBorders>
            <w:shd w:fill="D9EAF7" w:val="clear"/>
            <w:tcMar>
              <w:top w:type="dxa" w:w="100"/>
              <w:left w:type="dxa" w:w="130"/>
              <w:bottom w:type="dxa" w:w="100"/>
              <w:right w:type="dxa" w:w="130"/>
            </w:tcMar>
            <w:vAlign w:val="center"/>
          </w:tcPr>
          <w:p>
            <w:pPr>
              <w:spacing w:after="0" w:line="300" w:lineRule="auto"/>
              <w:jc w:val="center"/>
            </w:pPr>
            <w:r>
              <w:rPr>
                <w:rFonts w:ascii="Arial Unicode MS" w:cs="Arial Unicode MS" w:eastAsia="Arial Unicode MS" w:hAnsi="Arial Unicode MS"/>
                <w:b/>
                <w:bCs/>
                <w:sz w:val="20"/>
                <w:szCs w:val="20"/>
              </w:rPr>
              <w:t xml:space="preserve">情形</w:t>
            </w:r>
          </w:p>
        </w:tc>
        <w:tc>
          <w:tcPr>
            <w:tcW w:type="dxa" w:w="1700"/>
            <w:tcBorders>
              <w:top w:val="single" w:color="A6A6A6" w:sz="4"/>
              <w:left w:val="single" w:color="A6A6A6" w:sz="4"/>
              <w:bottom w:val="single" w:color="A6A6A6" w:sz="4"/>
              <w:right w:val="single" w:color="A6A6A6" w:sz="4"/>
            </w:tcBorders>
            <w:shd w:fill="D9EAF7" w:val="clear"/>
            <w:tcMar>
              <w:top w:type="dxa" w:w="100"/>
              <w:left w:type="dxa" w:w="130"/>
              <w:bottom w:type="dxa" w:w="100"/>
              <w:right w:type="dxa" w:w="130"/>
            </w:tcMar>
            <w:vAlign w:val="center"/>
          </w:tcPr>
          <w:p>
            <w:pPr>
              <w:spacing w:after="0" w:line="300" w:lineRule="auto"/>
              <w:jc w:val="center"/>
            </w:pPr>
            <w:r>
              <w:rPr>
                <w:rFonts w:ascii="Arial Unicode MS" w:cs="Arial Unicode MS" w:eastAsia="Arial Unicode MS" w:hAnsi="Arial Unicode MS"/>
                <w:b/>
                <w:bCs/>
                <w:sz w:val="20"/>
                <w:szCs w:val="20"/>
              </w:rPr>
              <w:t xml:space="preserve">首次响应</w:t>
            </w:r>
          </w:p>
        </w:tc>
        <w:tc>
          <w:tcPr>
            <w:tcW w:type="dxa" w:w="3066"/>
            <w:tcBorders>
              <w:top w:val="single" w:color="A6A6A6" w:sz="4"/>
              <w:left w:val="single" w:color="A6A6A6" w:sz="4"/>
              <w:bottom w:val="single" w:color="A6A6A6" w:sz="4"/>
              <w:right w:val="single" w:color="A6A6A6" w:sz="4"/>
            </w:tcBorders>
            <w:shd w:fill="D9EAF7" w:val="clear"/>
            <w:tcMar>
              <w:top w:type="dxa" w:w="100"/>
              <w:left w:type="dxa" w:w="130"/>
              <w:bottom w:type="dxa" w:w="100"/>
              <w:right w:type="dxa" w:w="130"/>
            </w:tcMar>
            <w:vAlign w:val="center"/>
          </w:tcPr>
          <w:p>
            <w:pPr>
              <w:spacing w:after="0" w:line="300" w:lineRule="auto"/>
              <w:jc w:val="center"/>
            </w:pPr>
            <w:r>
              <w:rPr>
                <w:rFonts w:ascii="Arial Unicode MS" w:cs="Arial Unicode MS" w:eastAsia="Arial Unicode MS" w:hAnsi="Arial Unicode MS"/>
                <w:b/>
                <w:bCs/>
                <w:sz w:val="20"/>
                <w:szCs w:val="20"/>
              </w:rPr>
              <w:t xml:space="preserve">处理原则</w:t>
            </w:r>
          </w:p>
        </w:tc>
      </w:tr>
      <w:tr>
        <w:tc>
          <w:tcPr>
            <w:tcW w:type="dxa" w:w="15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P1 紧急</w:t>
            </w:r>
          </w:p>
        </w:tc>
        <w:tc>
          <w:tcPr>
            <w:tcW w:type="dxa" w:w="30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核心生产服务整体不可用，且无可行替代方案。</w:t>
            </w:r>
          </w:p>
        </w:tc>
        <w:tc>
          <w:tcPr>
            <w:tcW w:type="dxa" w:w="17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4个工作小时内</w:t>
            </w:r>
          </w:p>
        </w:tc>
        <w:tc>
          <w:tcPr>
            <w:tcW w:type="dxa" w:w="3066"/>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优先止损并提供临时方案；完成初步诊断后由双方确认修复计划。</w:t>
            </w:r>
          </w:p>
        </w:tc>
      </w:tr>
      <w:tr>
        <w:tc>
          <w:tcPr>
            <w:tcW w:type="dxa" w:w="15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P2 重要</w:t>
            </w:r>
          </w:p>
        </w:tc>
        <w:tc>
          <w:tcPr>
            <w:tcW w:type="dxa" w:w="30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主要功能受影响，但存在替代方案或仅影响部分用户。</w:t>
            </w:r>
          </w:p>
        </w:tc>
        <w:tc>
          <w:tcPr>
            <w:tcW w:type="dxa" w:w="17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1个工作日内</w:t>
            </w:r>
          </w:p>
        </w:tc>
        <w:tc>
          <w:tcPr>
            <w:tcW w:type="dxa" w:w="3066"/>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原则上5个工作日内处理，复杂问题按确认的计划完成。</w:t>
            </w:r>
          </w:p>
        </w:tc>
      </w:tr>
      <w:tr>
        <w:tc>
          <w:tcPr>
            <w:tcW w:type="dxa" w:w="15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P3 一般</w:t>
            </w:r>
          </w:p>
        </w:tc>
        <w:tc>
          <w:tcPr>
            <w:tcW w:type="dxa" w:w="30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一般缺陷、优化建议、咨询或不影响主要业务的问题。</w:t>
            </w:r>
          </w:p>
        </w:tc>
        <w:tc>
          <w:tcPr>
            <w:tcW w:type="dxa" w:w="17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2个工作日内</w:t>
            </w:r>
          </w:p>
        </w:tc>
        <w:tc>
          <w:tcPr>
            <w:tcW w:type="dxa" w:w="3066"/>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纳入双方确认的日常计划或后续版本。</w:t>
            </w:r>
          </w:p>
        </w:tc>
      </w:tr>
    </w:tbl>
    <w:p>
      <w:pPr>
        <w:keepNext w:val="false"/>
        <w:spacing w:after="110" w:before="140" w:line="360" w:lineRule="auto"/>
        <w:ind w:firstLine="0"/>
        <w:jc w:val="both"/>
      </w:pPr>
      <w:r>
        <w:rPr>
          <w:rFonts w:ascii="Arial Unicode MS" w:cs="Arial Unicode MS" w:eastAsia="Arial Unicode MS" w:hAnsi="Arial Unicode MS"/>
          <w:b w:val="false"/>
          <w:bCs w:val="false"/>
          <w:sz w:val="22"/>
          <w:szCs w:val="22"/>
        </w:rPr>
        <w:t xml:space="preserve">说明：首次响应是指确认收到、开始分析并反馈下一步安排，不等同于承诺在该时间内完成修复。因甲方、客户、第三方平台、网络、云服务或未授权变更造成的问题，不计入乙方服务违约。</w:t>
      </w:r>
    </w:p>
    <w:p>
      <w:pPr>
        <w:keepNext/>
        <w:spacing w:after="80" w:before="140"/>
      </w:pPr>
      <w:r>
        <w:rPr>
          <w:rFonts w:ascii="Arial Unicode MS" w:cs="Arial Unicode MS" w:eastAsia="Arial Unicode MS" w:hAnsi="Arial Unicode MS"/>
          <w:b/>
          <w:bCs/>
          <w:sz w:val="23"/>
          <w:szCs w:val="23"/>
        </w:rPr>
        <w:t xml:space="preserve">二、验收与工时记录</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1. 乙方可通过工单、邮件、企业微信记录、会议纪要、代码或文档提交记录等证明服务内容和工时。</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2. 甲方应按协议第四条进行验收。未在期限内提出具体异议或已上线使用的，视为验收通过。</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3. 超出月度额度的服务，应由双方在实施前确认工作量、费用和排期；紧急情况下可先经指定联系人电子确认，后补变更单。</w:t>
      </w:r>
    </w:p>
    <w:p>
      <w:pPr>
        <w:keepNext/>
        <w:spacing w:after="80" w:before="140"/>
      </w:pPr>
      <w:r>
        <w:rPr>
          <w:rFonts w:ascii="Arial Unicode MS" w:cs="Arial Unicode MS" w:eastAsia="Arial Unicode MS" w:hAnsi="Arial Unicode MS"/>
          <w:b/>
          <w:bCs/>
          <w:sz w:val="23"/>
          <w:szCs w:val="23"/>
        </w:rPr>
        <w:t xml:space="preserve">三、明确排除事项</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1. 7×24小时驻场值守、甲方日常运营、客服、销售、客户承诺及内部人员管理。</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2. 未经书面确认的全量开发、重构、第三方遗留系统修复、渠道主体注册及资质申请。</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3. 第三方平台政策变化、接口停用、账号封禁、云服务中断或甲方未取得合法授权造成的结果保证。</w:t>
      </w:r>
    </w:p>
    <w:p>
      <w:r>
        <w:br w:type="page"/>
      </w:r>
    </w:p>
    <w:p>
      <w:pPr>
        <w:spacing w:after="220"/>
        <w:jc w:val="center"/>
      </w:pPr>
      <w:r>
        <w:rPr>
          <w:rFonts w:ascii="Arial Unicode MS" w:cs="Arial Unicode MS" w:eastAsia="Arial Unicode MS" w:hAnsi="Arial Unicode MS"/>
          <w:b/>
          <w:bCs/>
          <w:sz w:val="32"/>
          <w:szCs w:val="32"/>
        </w:rPr>
        <w:t xml:space="preserve">附件二：结算口径与资料清单</w:t>
      </w:r>
    </w:p>
    <w:p>
      <w:pPr>
        <w:keepNext/>
        <w:spacing w:after="80" w:before="140"/>
      </w:pPr>
      <w:r>
        <w:rPr>
          <w:rFonts w:ascii="Arial Unicode MS" w:cs="Arial Unicode MS" w:eastAsia="Arial Unicode MS" w:hAnsi="Arial Unicode MS"/>
          <w:b/>
          <w:bCs/>
          <w:sz w:val="23"/>
          <w:szCs w:val="23"/>
        </w:rPr>
        <w:t xml:space="preserve">一、季度结算资料</w:t>
      </w:r>
    </w:p>
    <w:tbl>
      <w:tblPr>
        <w:tblW w:type="dxa" w:w="92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766"/>
      </w:tblGrid>
      <w:tr>
        <w:trPr>
          <w:tblHeader/>
        </w:trPr>
        <w:tc>
          <w:tcPr>
            <w:tcW w:type="dxa" w:w="2500"/>
            <w:tcBorders>
              <w:top w:val="single" w:color="A6A6A6" w:sz="4"/>
              <w:left w:val="single" w:color="A6A6A6" w:sz="4"/>
              <w:bottom w:val="single" w:color="A6A6A6" w:sz="4"/>
              <w:right w:val="single" w:color="A6A6A6" w:sz="4"/>
            </w:tcBorders>
            <w:shd w:fill="D9EAF7" w:val="clear"/>
            <w:tcMar>
              <w:top w:type="dxa" w:w="100"/>
              <w:left w:type="dxa" w:w="130"/>
              <w:bottom w:type="dxa" w:w="100"/>
              <w:right w:type="dxa" w:w="130"/>
            </w:tcMar>
            <w:vAlign w:val="center"/>
          </w:tcPr>
          <w:p>
            <w:pPr>
              <w:spacing w:after="0" w:line="300" w:lineRule="auto"/>
              <w:jc w:val="center"/>
            </w:pPr>
            <w:r>
              <w:rPr>
                <w:rFonts w:ascii="Arial Unicode MS" w:cs="Arial Unicode MS" w:eastAsia="Arial Unicode MS" w:hAnsi="Arial Unicode MS"/>
                <w:b/>
                <w:bCs/>
                <w:sz w:val="20"/>
                <w:szCs w:val="20"/>
              </w:rPr>
              <w:t xml:space="preserve">资料类别</w:t>
            </w:r>
          </w:p>
        </w:tc>
        <w:tc>
          <w:tcPr>
            <w:tcW w:type="dxa" w:w="6766"/>
            <w:tcBorders>
              <w:top w:val="single" w:color="A6A6A6" w:sz="4"/>
              <w:left w:val="single" w:color="A6A6A6" w:sz="4"/>
              <w:bottom w:val="single" w:color="A6A6A6" w:sz="4"/>
              <w:right w:val="single" w:color="A6A6A6" w:sz="4"/>
            </w:tcBorders>
            <w:shd w:fill="D9EAF7" w:val="clear"/>
            <w:tcMar>
              <w:top w:type="dxa" w:w="100"/>
              <w:left w:type="dxa" w:w="130"/>
              <w:bottom w:type="dxa" w:w="100"/>
              <w:right w:type="dxa" w:w="130"/>
            </w:tcMar>
            <w:vAlign w:val="center"/>
          </w:tcPr>
          <w:p>
            <w:pPr>
              <w:spacing w:after="0" w:line="300" w:lineRule="auto"/>
              <w:jc w:val="center"/>
            </w:pPr>
            <w:r>
              <w:rPr>
                <w:rFonts w:ascii="Arial Unicode MS" w:cs="Arial Unicode MS" w:eastAsia="Arial Unicode MS" w:hAnsi="Arial Unicode MS"/>
                <w:b/>
                <w:bCs/>
                <w:sz w:val="20"/>
                <w:szCs w:val="20"/>
              </w:rPr>
              <w:t xml:space="preserve">至少包含内容</w:t>
            </w:r>
          </w:p>
        </w:tc>
      </w:tr>
      <w:tr>
        <w:tc>
          <w:tcPr>
            <w:tcW w:type="dxa" w:w="25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客户实收款明细</w:t>
            </w:r>
          </w:p>
        </w:tc>
        <w:tc>
          <w:tcPr>
            <w:tcW w:type="dxa" w:w="6766"/>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客户名称、合同编号、产品或服务、应收金额、实收金额、收款日期、退款金额、收款主体。</w:t>
            </w:r>
          </w:p>
        </w:tc>
      </w:tr>
      <w:tr>
        <w:tc>
          <w:tcPr>
            <w:tcW w:type="dxa" w:w="25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直接成本明细</w:t>
            </w:r>
          </w:p>
        </w:tc>
        <w:tc>
          <w:tcPr>
            <w:tcW w:type="dxa" w:w="6766"/>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成本类别、供应商、用途、发生日期、金额、付款凭证及发票编号。</w:t>
            </w:r>
          </w:p>
        </w:tc>
      </w:tr>
      <w:tr>
        <w:tc>
          <w:tcPr>
            <w:tcW w:type="dxa" w:w="25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咨询费计算表</w:t>
            </w:r>
          </w:p>
        </w:tc>
        <w:tc>
          <w:tcPr>
            <w:tcW w:type="dxa" w:w="6766"/>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客户实收款合计、可扣除直接成本合计、计提基数、10%咨询费、已付及应付金额。</w:t>
            </w:r>
          </w:p>
        </w:tc>
      </w:tr>
      <w:tr>
        <w:tc>
          <w:tcPr>
            <w:tcW w:type="dxa" w:w="25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支持凭证</w:t>
            </w:r>
          </w:p>
        </w:tc>
        <w:tc>
          <w:tcPr>
            <w:tcW w:type="dxa" w:w="6766"/>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必要范围内的客户合同、发票、银行回单、平台账单、供应商账单及双方确认文件。</w:t>
            </w:r>
          </w:p>
        </w:tc>
      </w:tr>
    </w:tbl>
    <w:p>
      <w:pPr>
        <w:keepNext/>
        <w:spacing w:after="80" w:before="140"/>
      </w:pPr>
      <w:r>
        <w:rPr>
          <w:rFonts w:ascii="Arial Unicode MS" w:cs="Arial Unicode MS" w:eastAsia="Arial Unicode MS" w:hAnsi="Arial Unicode MS"/>
          <w:b/>
          <w:bCs/>
          <w:sz w:val="23"/>
          <w:szCs w:val="23"/>
        </w:rPr>
        <w:t xml:space="preserve">二、项目直接成本封闭清单</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1. 项目专用云服务器、数据库、对象存储、短信、邮件等基础资源实际支出。</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2. 渠道认证、开放平台、支付或消息通道等第三方必要费用。</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3. 经甲方批准的AI模型、API、Token及数据处理服务费用。</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4. 经甲方事前批准的项目差旅及专项第三方服务费用。</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5. 其他费用必须由双方在发生前书面确认方可扣除。</w:t>
      </w:r>
    </w:p>
    <w:p>
      <w:pPr>
        <w:keepNext/>
        <w:spacing w:after="80" w:before="140"/>
      </w:pPr>
      <w:r>
        <w:rPr>
          <w:rFonts w:ascii="Arial Unicode MS" w:cs="Arial Unicode MS" w:eastAsia="Arial Unicode MS" w:hAnsi="Arial Unicode MS"/>
          <w:b/>
          <w:bCs/>
          <w:sz w:val="23"/>
          <w:szCs w:val="23"/>
        </w:rPr>
        <w:t xml:space="preserve">三、核验原则</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1. 甲方应确保项目收入和成本单独建账或具备可追溯的辅助账。</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2. 甲方通过关联方收款或支付成本的，应如实披露交易主体、定价依据及最终项目归属，不得通过不合理关联交易减少计提基数。</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3. 乙方及受托核验机构仅为结算目的使用资料，并按本协议承担保密义务。</w:t>
      </w:r>
    </w:p>
    <w:p>
      <w:r>
        <w:br w:type="page"/>
      </w:r>
    </w:p>
    <w:p>
      <w:pPr>
        <w:spacing w:after="220"/>
        <w:jc w:val="center"/>
      </w:pPr>
      <w:r>
        <w:rPr>
          <w:rFonts w:ascii="Arial Unicode MS" w:cs="Arial Unicode MS" w:eastAsia="Arial Unicode MS" w:hAnsi="Arial Unicode MS"/>
          <w:b/>
          <w:bCs/>
          <w:sz w:val="32"/>
          <w:szCs w:val="32"/>
        </w:rPr>
        <w:t xml:space="preserve">附件三：数据处理与账号交接规则</w:t>
      </w:r>
    </w:p>
    <w:p>
      <w:pPr>
        <w:keepNext/>
        <w:spacing w:after="80" w:before="140"/>
      </w:pPr>
      <w:r>
        <w:rPr>
          <w:rFonts w:ascii="Arial Unicode MS" w:cs="Arial Unicode MS" w:eastAsia="Arial Unicode MS" w:hAnsi="Arial Unicode MS"/>
          <w:b/>
          <w:bCs/>
          <w:sz w:val="23"/>
          <w:szCs w:val="23"/>
        </w:rPr>
        <w:t xml:space="preserve">一、受托处理范围</w:t>
      </w:r>
    </w:p>
    <w:tbl>
      <w:tblPr>
        <w:tblW w:type="dxa" w:w="92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066"/>
      </w:tblGrid>
      <w:tr>
        <w:trPr>
          <w:tblHeader/>
        </w:trPr>
        <w:tc>
          <w:tcPr>
            <w:tcW w:type="dxa" w:w="2200"/>
            <w:tcBorders>
              <w:top w:val="single" w:color="A6A6A6" w:sz="4"/>
              <w:left w:val="single" w:color="A6A6A6" w:sz="4"/>
              <w:bottom w:val="single" w:color="A6A6A6" w:sz="4"/>
              <w:right w:val="single" w:color="A6A6A6" w:sz="4"/>
            </w:tcBorders>
            <w:shd w:fill="D9EAF7" w:val="clear"/>
            <w:tcMar>
              <w:top w:type="dxa" w:w="100"/>
              <w:left w:type="dxa" w:w="130"/>
              <w:bottom w:type="dxa" w:w="100"/>
              <w:right w:type="dxa" w:w="130"/>
            </w:tcMar>
            <w:vAlign w:val="center"/>
          </w:tcPr>
          <w:p>
            <w:pPr>
              <w:spacing w:after="0" w:line="300" w:lineRule="auto"/>
              <w:jc w:val="center"/>
            </w:pPr>
            <w:r>
              <w:rPr>
                <w:rFonts w:ascii="Arial Unicode MS" w:cs="Arial Unicode MS" w:eastAsia="Arial Unicode MS" w:hAnsi="Arial Unicode MS"/>
                <w:b/>
                <w:bCs/>
                <w:sz w:val="20"/>
                <w:szCs w:val="20"/>
              </w:rPr>
              <w:t xml:space="preserve">项目</w:t>
            </w:r>
          </w:p>
        </w:tc>
        <w:tc>
          <w:tcPr>
            <w:tcW w:type="dxa" w:w="7066"/>
            <w:tcBorders>
              <w:top w:val="single" w:color="A6A6A6" w:sz="4"/>
              <w:left w:val="single" w:color="A6A6A6" w:sz="4"/>
              <w:bottom w:val="single" w:color="A6A6A6" w:sz="4"/>
              <w:right w:val="single" w:color="A6A6A6" w:sz="4"/>
            </w:tcBorders>
            <w:shd w:fill="D9EAF7" w:val="clear"/>
            <w:tcMar>
              <w:top w:type="dxa" w:w="100"/>
              <w:left w:type="dxa" w:w="130"/>
              <w:bottom w:type="dxa" w:w="100"/>
              <w:right w:type="dxa" w:w="130"/>
            </w:tcMar>
            <w:vAlign w:val="center"/>
          </w:tcPr>
          <w:p>
            <w:pPr>
              <w:spacing w:after="0" w:line="300" w:lineRule="auto"/>
              <w:jc w:val="center"/>
            </w:pPr>
            <w:r>
              <w:rPr>
                <w:rFonts w:ascii="Arial Unicode MS" w:cs="Arial Unicode MS" w:eastAsia="Arial Unicode MS" w:hAnsi="Arial Unicode MS"/>
                <w:b/>
                <w:bCs/>
                <w:sz w:val="20"/>
                <w:szCs w:val="20"/>
              </w:rPr>
              <w:t xml:space="preserve">约定</w:t>
            </w:r>
          </w:p>
        </w:tc>
      </w:tr>
      <w:tr>
        <w:tc>
          <w:tcPr>
            <w:tcW w:type="dxa" w:w="22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处理目的</w:t>
            </w:r>
          </w:p>
        </w:tc>
        <w:tc>
          <w:tcPr>
            <w:tcW w:type="dxa" w:w="7066"/>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仅为接口联调、系统配置、故障排查、技术支持、安全处置及经甲方书面确认的项目服务。</w:t>
            </w:r>
          </w:p>
        </w:tc>
      </w:tr>
      <w:tr>
        <w:tc>
          <w:tcPr>
            <w:tcW w:type="dxa" w:w="22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可能涉及的数据</w:t>
            </w:r>
          </w:p>
        </w:tc>
        <w:tc>
          <w:tcPr>
            <w:tcW w:type="dxa" w:w="7066"/>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客户或联系人姓名、联系方式、渠道标识、订单及交易信息、沟通消息、使用日志、设备和账号信息。</w:t>
            </w:r>
          </w:p>
        </w:tc>
      </w:tr>
      <w:tr>
        <w:tc>
          <w:tcPr>
            <w:tcW w:type="dxa" w:w="22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处理方式</w:t>
            </w:r>
          </w:p>
        </w:tc>
        <w:tc>
          <w:tcPr>
            <w:tcW w:type="dxa" w:w="7066"/>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访问、查询、传输、临时存储、分析、纠错、备份恢复及为实现服务所必需的其他最小处理。</w:t>
            </w:r>
          </w:p>
        </w:tc>
      </w:tr>
      <w:tr>
        <w:tc>
          <w:tcPr>
            <w:tcW w:type="dxa" w:w="22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处理期限</w:t>
            </w:r>
          </w:p>
        </w:tc>
        <w:tc>
          <w:tcPr>
            <w:tcW w:type="dxa" w:w="7066"/>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不超过本协议服务期限及完成交接、结算和法定义务所必需的合理期限。</w:t>
            </w:r>
          </w:p>
        </w:tc>
      </w:tr>
      <w:tr>
        <w:tc>
          <w:tcPr>
            <w:tcW w:type="dxa" w:w="22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存储与传输</w:t>
            </w:r>
          </w:p>
        </w:tc>
        <w:tc>
          <w:tcPr>
            <w:tcW w:type="dxa" w:w="7066"/>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原则上使用甲方批准的中国境内系统和项目专用账号；涉及向境外提供数据的，须另行书面确认并依法履行手续。</w:t>
            </w:r>
          </w:p>
        </w:tc>
      </w:tr>
    </w:tbl>
    <w:p>
      <w:pPr>
        <w:keepNext/>
        <w:spacing w:after="80" w:before="140"/>
      </w:pPr>
      <w:r>
        <w:rPr>
          <w:rFonts w:ascii="Arial Unicode MS" w:cs="Arial Unicode MS" w:eastAsia="Arial Unicode MS" w:hAnsi="Arial Unicode MS"/>
          <w:b/>
          <w:bCs/>
          <w:sz w:val="23"/>
          <w:szCs w:val="23"/>
        </w:rPr>
        <w:t xml:space="preserve">二、安全措施</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1. 项目账号应遵循专号专用、最小权限、多因素认证和定期复核原则，不以普通聊天明文发送密码、密钥和完整客户数据。</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2. 双方应对重要操作和数据导出保留合理日志；发现异常访问、密钥泄露或账号失控，应立即停用或轮换凭证。</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3. 调试和测试优先使用脱敏或模拟数据；确需使用真实数据的，应控制字段、人员和保存期限。</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4. 未经甲方书面批准，不得将客户消息、联系方式、交易明细等用于训练公共模型或提交给无关第三方。</w:t>
      </w:r>
    </w:p>
    <w:p>
      <w:pPr>
        <w:keepNext/>
        <w:spacing w:after="80" w:before="140"/>
      </w:pPr>
      <w:r>
        <w:rPr>
          <w:rFonts w:ascii="Arial Unicode MS" w:cs="Arial Unicode MS" w:eastAsia="Arial Unicode MS" w:hAnsi="Arial Unicode MS"/>
          <w:b/>
          <w:bCs/>
          <w:sz w:val="23"/>
          <w:szCs w:val="23"/>
        </w:rPr>
        <w:t xml:space="preserve">三、第三方服务清单</w:t>
      </w:r>
    </w:p>
    <w:p>
      <w:pPr>
        <w:keepNext w:val="false"/>
        <w:spacing w:after="110" w:before="0" w:line="360" w:lineRule="auto"/>
        <w:ind w:firstLine="0"/>
        <w:jc w:val="both"/>
      </w:pPr>
      <w:r>
        <w:rPr>
          <w:rFonts w:ascii="Arial Unicode MS" w:cs="Arial Unicode MS" w:eastAsia="Arial Unicode MS" w:hAnsi="Arial Unicode MS"/>
          <w:b w:val="false"/>
          <w:bCs w:val="false"/>
          <w:sz w:val="22"/>
          <w:szCs w:val="22"/>
        </w:rPr>
        <w:t xml:space="preserve">双方应通过书面清单记录实际使用的云平台、AI模型、开放平台和API供应商，包括服务商名称、用途、涉及数据类别、存储地区及账号归属。清单可经双方指定联系人书面确认后更新。</w:t>
      </w:r>
    </w:p>
    <w:tbl>
      <w:tblPr>
        <w:tblW w:type="dxa" w:w="92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200"/>
        <w:gridCol w:w="2866"/>
        <w:gridCol w:w="2000"/>
      </w:tblGrid>
      <w:tr>
        <w:trPr>
          <w:tblHeader/>
        </w:trPr>
        <w:tc>
          <w:tcPr>
            <w:tcW w:type="dxa" w:w="2200"/>
            <w:tcBorders>
              <w:top w:val="single" w:color="A6A6A6" w:sz="4"/>
              <w:left w:val="single" w:color="A6A6A6" w:sz="4"/>
              <w:bottom w:val="single" w:color="A6A6A6" w:sz="4"/>
              <w:right w:val="single" w:color="A6A6A6" w:sz="4"/>
            </w:tcBorders>
            <w:shd w:fill="D9EAF7" w:val="clear"/>
            <w:tcMar>
              <w:top w:type="dxa" w:w="100"/>
              <w:left w:type="dxa" w:w="130"/>
              <w:bottom w:type="dxa" w:w="100"/>
              <w:right w:type="dxa" w:w="130"/>
            </w:tcMar>
            <w:vAlign w:val="center"/>
          </w:tcPr>
          <w:p>
            <w:pPr>
              <w:spacing w:after="0" w:line="300" w:lineRule="auto"/>
              <w:jc w:val="center"/>
            </w:pPr>
            <w:r>
              <w:rPr>
                <w:rFonts w:ascii="Arial Unicode MS" w:cs="Arial Unicode MS" w:eastAsia="Arial Unicode MS" w:hAnsi="Arial Unicode MS"/>
                <w:b/>
                <w:bCs/>
                <w:sz w:val="20"/>
                <w:szCs w:val="20"/>
              </w:rPr>
              <w:t xml:space="preserve">服务商/平台</w:t>
            </w:r>
          </w:p>
        </w:tc>
        <w:tc>
          <w:tcPr>
            <w:tcW w:type="dxa" w:w="2200"/>
            <w:tcBorders>
              <w:top w:val="single" w:color="A6A6A6" w:sz="4"/>
              <w:left w:val="single" w:color="A6A6A6" w:sz="4"/>
              <w:bottom w:val="single" w:color="A6A6A6" w:sz="4"/>
              <w:right w:val="single" w:color="A6A6A6" w:sz="4"/>
            </w:tcBorders>
            <w:shd w:fill="D9EAF7" w:val="clear"/>
            <w:tcMar>
              <w:top w:type="dxa" w:w="100"/>
              <w:left w:type="dxa" w:w="130"/>
              <w:bottom w:type="dxa" w:w="100"/>
              <w:right w:type="dxa" w:w="130"/>
            </w:tcMar>
            <w:vAlign w:val="center"/>
          </w:tcPr>
          <w:p>
            <w:pPr>
              <w:spacing w:after="0" w:line="300" w:lineRule="auto"/>
              <w:jc w:val="center"/>
            </w:pPr>
            <w:r>
              <w:rPr>
                <w:rFonts w:ascii="Arial Unicode MS" w:cs="Arial Unicode MS" w:eastAsia="Arial Unicode MS" w:hAnsi="Arial Unicode MS"/>
                <w:b/>
                <w:bCs/>
                <w:sz w:val="20"/>
                <w:szCs w:val="20"/>
              </w:rPr>
              <w:t xml:space="preserve">用途</w:t>
            </w:r>
          </w:p>
        </w:tc>
        <w:tc>
          <w:tcPr>
            <w:tcW w:type="dxa" w:w="2866"/>
            <w:tcBorders>
              <w:top w:val="single" w:color="A6A6A6" w:sz="4"/>
              <w:left w:val="single" w:color="A6A6A6" w:sz="4"/>
              <w:bottom w:val="single" w:color="A6A6A6" w:sz="4"/>
              <w:right w:val="single" w:color="A6A6A6" w:sz="4"/>
            </w:tcBorders>
            <w:shd w:fill="D9EAF7" w:val="clear"/>
            <w:tcMar>
              <w:top w:type="dxa" w:w="100"/>
              <w:left w:type="dxa" w:w="130"/>
              <w:bottom w:type="dxa" w:w="100"/>
              <w:right w:type="dxa" w:w="130"/>
            </w:tcMar>
            <w:vAlign w:val="center"/>
          </w:tcPr>
          <w:p>
            <w:pPr>
              <w:spacing w:after="0" w:line="300" w:lineRule="auto"/>
              <w:jc w:val="center"/>
            </w:pPr>
            <w:r>
              <w:rPr>
                <w:rFonts w:ascii="Arial Unicode MS" w:cs="Arial Unicode MS" w:eastAsia="Arial Unicode MS" w:hAnsi="Arial Unicode MS"/>
                <w:b/>
                <w:bCs/>
                <w:sz w:val="20"/>
                <w:szCs w:val="20"/>
              </w:rPr>
              <w:t xml:space="preserve">可能涉及的数据</w:t>
            </w:r>
          </w:p>
        </w:tc>
        <w:tc>
          <w:tcPr>
            <w:tcW w:type="dxa" w:w="2000"/>
            <w:tcBorders>
              <w:top w:val="single" w:color="A6A6A6" w:sz="4"/>
              <w:left w:val="single" w:color="A6A6A6" w:sz="4"/>
              <w:bottom w:val="single" w:color="A6A6A6" w:sz="4"/>
              <w:right w:val="single" w:color="A6A6A6" w:sz="4"/>
            </w:tcBorders>
            <w:shd w:fill="D9EAF7" w:val="clear"/>
            <w:tcMar>
              <w:top w:type="dxa" w:w="100"/>
              <w:left w:type="dxa" w:w="130"/>
              <w:bottom w:type="dxa" w:w="100"/>
              <w:right w:type="dxa" w:w="130"/>
            </w:tcMar>
            <w:vAlign w:val="center"/>
          </w:tcPr>
          <w:p>
            <w:pPr>
              <w:spacing w:after="0" w:line="300" w:lineRule="auto"/>
              <w:jc w:val="center"/>
            </w:pPr>
            <w:r>
              <w:rPr>
                <w:rFonts w:ascii="Arial Unicode MS" w:cs="Arial Unicode MS" w:eastAsia="Arial Unicode MS" w:hAnsi="Arial Unicode MS"/>
                <w:b/>
                <w:bCs/>
                <w:sz w:val="20"/>
                <w:szCs w:val="20"/>
              </w:rPr>
              <w:t xml:space="preserve">账号归属</w:t>
            </w:r>
          </w:p>
        </w:tc>
      </w:tr>
      <w:tr>
        <w:tc>
          <w:tcPr>
            <w:tcW w:type="dxa" w:w="22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________________</w:t>
            </w:r>
          </w:p>
        </w:tc>
        <w:tc>
          <w:tcPr>
            <w:tcW w:type="dxa" w:w="22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________________</w:t>
            </w:r>
          </w:p>
        </w:tc>
        <w:tc>
          <w:tcPr>
            <w:tcW w:type="dxa" w:w="2866"/>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________________</w:t>
            </w:r>
          </w:p>
        </w:tc>
        <w:tc>
          <w:tcPr>
            <w:tcW w:type="dxa" w:w="20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甲方 / 乙方</w:t>
            </w:r>
          </w:p>
        </w:tc>
      </w:tr>
      <w:tr>
        <w:tc>
          <w:tcPr>
            <w:tcW w:type="dxa" w:w="22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________________</w:t>
            </w:r>
          </w:p>
        </w:tc>
        <w:tc>
          <w:tcPr>
            <w:tcW w:type="dxa" w:w="22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________________</w:t>
            </w:r>
          </w:p>
        </w:tc>
        <w:tc>
          <w:tcPr>
            <w:tcW w:type="dxa" w:w="2866"/>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________________</w:t>
            </w:r>
          </w:p>
        </w:tc>
        <w:tc>
          <w:tcPr>
            <w:tcW w:type="dxa" w:w="20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甲方 / 乙方</w:t>
            </w:r>
          </w:p>
        </w:tc>
      </w:tr>
      <w:tr>
        <w:tc>
          <w:tcPr>
            <w:tcW w:type="dxa" w:w="22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________________</w:t>
            </w:r>
          </w:p>
        </w:tc>
        <w:tc>
          <w:tcPr>
            <w:tcW w:type="dxa" w:w="22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________________</w:t>
            </w:r>
          </w:p>
        </w:tc>
        <w:tc>
          <w:tcPr>
            <w:tcW w:type="dxa" w:w="2866"/>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________________</w:t>
            </w:r>
          </w:p>
        </w:tc>
        <w:tc>
          <w:tcPr>
            <w:tcW w:type="dxa" w:w="2000"/>
            <w:tcBorders>
              <w:top w:val="single" w:color="A6A6A6" w:sz="4"/>
              <w:left w:val="single" w:color="A6A6A6" w:sz="4"/>
              <w:bottom w:val="single" w:color="A6A6A6" w:sz="4"/>
              <w:right w:val="single" w:color="A6A6A6" w:sz="4"/>
            </w:tcBorders>
            <w:tcMar>
              <w:top w:type="dxa" w:w="100"/>
              <w:left w:type="dxa" w:w="130"/>
              <w:bottom w:type="dxa" w:w="100"/>
              <w:right w:type="dxa" w:w="130"/>
            </w:tcMar>
            <w:vAlign w:val="center"/>
          </w:tcPr>
          <w:p>
            <w:pPr>
              <w:spacing w:after="0" w:line="300" w:lineRule="auto"/>
              <w:jc w:val="left"/>
            </w:pPr>
            <w:r>
              <w:rPr>
                <w:rFonts w:ascii="Arial Unicode MS" w:cs="Arial Unicode MS" w:eastAsia="Arial Unicode MS" w:hAnsi="Arial Unicode MS"/>
                <w:b w:val="false"/>
                <w:bCs w:val="false"/>
                <w:sz w:val="20"/>
                <w:szCs w:val="20"/>
              </w:rPr>
              <w:t xml:space="preserve">甲方 / 乙方</w:t>
            </w:r>
          </w:p>
        </w:tc>
      </w:tr>
    </w:tbl>
    <w:p>
      <w:pPr>
        <w:keepNext/>
        <w:spacing w:after="80" w:before="140"/>
      </w:pPr>
      <w:r>
        <w:rPr>
          <w:rFonts w:ascii="Arial Unicode MS" w:cs="Arial Unicode MS" w:eastAsia="Arial Unicode MS" w:hAnsi="Arial Unicode MS"/>
          <w:b/>
          <w:bCs/>
          <w:sz w:val="23"/>
          <w:szCs w:val="23"/>
        </w:rPr>
        <w:t xml:space="preserve">四、终止与交接</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1. 乙方按甲方书面要求返还或删除受托数据，并以合理方式确认完成情况。</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2. 项目专用账号、域名、云资源、开放平台应用和API密钥原则上登记在甲方名下；确由乙方代持的，应在交接时变更管理员、轮换密钥并撤销乙方不再需要的权限。</w:t>
      </w:r>
    </w:p>
    <w:p>
      <w:pPr>
        <w:keepNext w:val="false"/>
        <w:spacing w:after="60" w:before="0" w:line="360" w:lineRule="auto"/>
        <w:ind w:firstLine="0"/>
        <w:jc w:val="both"/>
      </w:pPr>
      <w:r>
        <w:rPr>
          <w:rFonts w:ascii="Arial Unicode MS" w:cs="Arial Unicode MS" w:eastAsia="Arial Unicode MS" w:hAnsi="Arial Unicode MS"/>
          <w:b w:val="false"/>
          <w:bCs w:val="false"/>
          <w:sz w:val="22"/>
          <w:szCs w:val="22"/>
        </w:rPr>
        <w:t xml:space="preserve">3. 双方不得要求移交员工个人账号、个人设备密码或与本项目无关的其他客户资料。</w:t>
      </w:r>
    </w:p>
    <w:sectPr>
      <w:footerReference w:type="default" r:id="rId7"/>
      <w:pgSz w:w="11906" w:h="16838" w:orient="portrait"/>
      <w:pgMar w:top="1200" w:right="1320" w:bottom="1200" w:left="132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Unicode MS" w:cs="Arial Unicode MS" w:eastAsia="Arial Unicode MS" w:hAnsi="Arial Unicode MS"/>
        <w:color w:val="666666"/>
        <w:sz w:val="18"/>
        <w:szCs w:val="18"/>
      </w:rPr>
      <w:t xml:space="preserve">第 </w:t>
    </w:r>
    <w:r>
      <w:rPr>
        <w:rFonts w:ascii="Arial Unicode MS" w:cs="Arial Unicode MS" w:eastAsia="Arial Unicode MS" w:hAnsi="Arial Unicode MS"/>
        <w:color w:val="666666"/>
        <w:sz w:val="18"/>
        <w:szCs w:val="18"/>
      </w:rPr>
      <w:fldChar w:fldCharType="begin"/>
      <w:instrText xml:space="preserve">PAGE</w:instrText>
      <w:fldChar w:fldCharType="separate"/>
      <w:fldChar w:fldCharType="end"/>
    </w:r>
    <w:r>
      <w:rPr>
        <w:rFonts w:ascii="Arial Unicode MS" w:cs="Arial Unicode MS" w:eastAsia="Arial Unicode MS" w:hAnsi="Arial Unicode MS"/>
        <w:color w:val="666666"/>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Unicode MS" w:cs="Arial Unicode MS" w:eastAsia="Arial Unicode MS" w:hAnsi="Arial Unicode MS"/>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60"/>
      <w:outlineLvl w:val="0"/>
    </w:pPr>
    <w:rPr>
      <w:rFonts w:ascii="Arial Unicode MS" w:cs="Arial Unicode MS" w:eastAsia="Arial Unicode MS" w:hAnsi="Arial Unicode MS"/>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客来来项目合作协议（平衡版）</dc:title>
  <dc:creator>OpenAI Codex</dc:creator>
  <dc:description>成都观微数智科技有限公司与成都修茈科技有限公司技术服务合作协议平衡修订版</dc:description>
  <cp:lastModifiedBy>Un-named</cp:lastModifiedBy>
  <cp:revision>1</cp:revision>
  <dcterms:created xsi:type="dcterms:W3CDTF">2026-07-13T16:08:17.379Z</dcterms:created>
  <dcterms:modified xsi:type="dcterms:W3CDTF">2026-07-13T16:08:17.383Z</dcterms:modified>
</cp:coreProperties>
</file>

<file path=docProps/custom.xml><?xml version="1.0" encoding="utf-8"?>
<Properties xmlns="http://schemas.openxmlformats.org/officeDocument/2006/custom-properties" xmlns:vt="http://schemas.openxmlformats.org/officeDocument/2006/docPropsVTypes"/>
</file>