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80"/>
      </w:pPr>
      <w:r>
        <w:rPr>
          <w:rFonts w:ascii="Arial" w:cs="Arial" w:eastAsia="STHeiti" w:hAnsi="Arial"/>
          <w:b/>
          <w:bCs/>
          <w:color w:val="0F172A"/>
          <w:sz w:val="42"/>
          <w:szCs w:val="42"/>
        </w:rPr>
        <w:t xml:space="preserve">客来来 x 业务调度后台</w:t>
      </w:r>
    </w:p>
    <w:p>
      <w:pPr>
        <w:spacing w:after="220"/>
      </w:pPr>
      <w:r>
        <w:rPr>
          <w:rFonts w:ascii="Arial" w:cs="Arial" w:eastAsia="STHeiti" w:hAnsi="Arial"/>
          <w:b/>
          <w:bCs/>
          <w:color w:val="2563EB"/>
          <w:sz w:val="32"/>
          <w:szCs w:val="32"/>
        </w:rPr>
        <w:t xml:space="preserve">融合业务报告</w:t>
      </w:r>
    </w:p>
    <w:p>
      <w:pPr>
        <w:spacing w:after="4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报告日期：2026-07-15</w:t>
      </w:r>
    </w:p>
    <w:p>
      <w:pPr>
        <w:spacing w:after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报告目的：明确系统后台（业务配置与调度）与客来来（客户经营与执行）之间的结合点，形成可实施、可验收、可扩展的融合路径。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5"/>
        <w:gridCol w:w="6070"/>
      </w:tblGrid>
      <w:tr>
        <w:tc>
          <w:tcPr>
            <w:tcW w:type="dxa" w:w="4395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结论</w:t>
            </w:r>
          </w:p>
        </w:tc>
        <w:tc>
          <w:tcPr>
            <w:tcW w:type="dxa" w:w="60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4395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不合并为一个界面，也不保留两套重复业务逻辑。</w:t>
            </w:r>
          </w:p>
        </w:tc>
        <w:tc>
          <w:tcPr>
            <w:tcW w:type="dxa" w:w="60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建设一个共用业务中台，以事件和权限连接两个按角色分工的产品界面。</w:t>
            </w:r>
          </w:p>
        </w:tc>
      </w:tr>
    </w:tbl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一、管理层摘要</w:t>
      </w:r>
    </w:p>
    <w:p>
      <w:pPr>
        <w:spacing w:after="120" w:line="30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两套产品具有强业务耦合，但承担不同岗位的工作：系统后台是配置、调度、监控和审计的控制塔；客来来是销售、客服和业务人员处理客户会话、推进商机与完成成交的工作台。真正的融合点不是导航菜单，而是贯通“获客 - 分配 - 对话 - 跟进 - 成交 - 复盘”的业务闭环。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产品定位：一个能力后台、两个角色界面。后台对系统负责，客来来对客户经营结果负责。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优先融合：线索分发、客户身份、会话上下文、内容/智能体任务、转化归因和风险审计。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首期结果：调度侧能把高意向线索安全地交给具体人员；客来来能接住线索并把处理结果回流。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不做事项：不把 AI 中枢、外呼、风控、账号管理等后台菜单直接塞进一线人员的日常导航。</w:t>
      </w:r>
    </w:p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二、两端定位与边界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73"/>
        <w:gridCol w:w="3673"/>
      </w:tblGrid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维度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系统后台 / 业务调度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客来来 / 客户经营工作台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主要用户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运营负责人、调度员、管理员、风控人员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销售、客服、业务负责人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核心问题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系统今天该执行什么、何处异常、策略是否有效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我现在该跟进谁、怎么回复、怎样推进成交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主要对象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智能体、渠道、任务、规则、内容、预算、审计事件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客户、会话、商机阶段、待办、报价、跟进记录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关键动作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配置策略、创建任务、分配资源、暂停/重试、审批、复盘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接收线索、回复消息、补全画像、推进阶段、完成跟进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成功标准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任务成功率、合规率、资源效率、获客质量</w:t>
            </w:r>
          </w:p>
        </w:tc>
        <w:tc>
          <w:tcPr>
            <w:tcW w:type="dxa" w:w="367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首响时长、有效跟进率、阶段推进率、成交率</w:t>
            </w:r>
          </w:p>
        </w:tc>
      </w:tr>
    </w:tbl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三、可结合的业务对象</w:t>
      </w:r>
    </w:p>
    <w:p>
      <w:pPr>
        <w:spacing w:after="120" w:line="30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建议建立统一业务主键和数据字典。后台与客来来只通过统一对象、事件与权限协作，避免互相复制客户或任务数据。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746"/>
      </w:tblGrid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统一对象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后台产出或管理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客来来消费或回传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线索 Lead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来源、采集规则、评分、去重、分配策略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接收、确认有效性、补全资料、转为客户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客户 Customer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归因渠道、生命周期指标、分配记录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客户画像、负责人、销售阶段、跟进结果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会话 Conversation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渠道质量、智能体托管规则、风险命中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客户消息、人工回复、AI 建议、会话摘要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任务 Task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内容生产、触达、外呼、采集、审批、重试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查看可执行任务、确认完成、反馈失败原因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内容 Content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生成、审核、投放、素材版本、渠道策略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选择素材、发送给客户、记录使用和效果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事件与审计</w:t>
            </w:r>
          </w:p>
        </w:tc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调度轨迹、策略版本、风险决策、异常告警</w:t>
            </w:r>
          </w:p>
        </w:tc>
        <w:tc>
          <w:tcPr>
            <w:tcW w:type="dxa" w:w="3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处理结果、人工覆盖、成交/流失原因</w:t>
            </w:r>
          </w:p>
        </w:tc>
      </w:tr>
    </w:tbl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四、目标闭环：从获客到成交</w:t>
      </w:r>
    </w:p>
    <w:p>
      <w:pPr>
        <w:spacing w:after="120" w:line="30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推荐的目标流程如下。每一步均有明确责任方和可量化状态，避免“后台有任务、前线不知道；前线处理了、后台不知道”的断链。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750"/>
        <w:gridCol w:w="2850"/>
        <w:gridCol w:w="1926"/>
      </w:tblGrid>
      <w:tr>
        <w:tc>
          <w:tcPr>
            <w:tcW w:type="dxa" w:w="112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步骤</w:t>
            </w:r>
          </w:p>
        </w:tc>
        <w:tc>
          <w:tcPr>
            <w:tcW w:type="dxa" w:w="27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后台责任</w:t>
            </w:r>
          </w:p>
        </w:tc>
        <w:tc>
          <w:tcPr>
            <w:tcW w:type="dxa" w:w="28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客来来责任</w:t>
            </w:r>
          </w:p>
        </w:tc>
        <w:tc>
          <w:tcPr>
            <w:tcW w:type="dxa" w:w="192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闭环事件</w:t>
            </w:r>
          </w:p>
        </w:tc>
      </w:tr>
      <w:tr>
        <w:tc>
          <w:tcPr>
            <w:tcW w:type="dxa" w:w="112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1. 获客与评分</w:t>
            </w:r>
          </w:p>
        </w:tc>
        <w:tc>
          <w:tcPr>
            <w:tcW w:type="dxa" w:w="27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采集渠道数据，去重、评分、风控检查</w:t>
            </w:r>
          </w:p>
        </w:tc>
        <w:tc>
          <w:tcPr>
            <w:tcW w:type="dxa" w:w="28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无</w:t>
            </w:r>
          </w:p>
        </w:tc>
        <w:tc>
          <w:tcPr>
            <w:tcW w:type="dxa" w:w="192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lead.captured / lead.scored</w:t>
            </w:r>
          </w:p>
        </w:tc>
      </w:tr>
      <w:tr>
        <w:tc>
          <w:tcPr>
            <w:tcW w:type="dxa" w:w="112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2. 分配与接收</w:t>
            </w:r>
          </w:p>
        </w:tc>
        <w:tc>
          <w:tcPr>
            <w:tcW w:type="dxa" w:w="27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按团队、负载、能力和规则分配</w:t>
            </w:r>
          </w:p>
        </w:tc>
        <w:tc>
          <w:tcPr>
            <w:tcW w:type="dxa" w:w="28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接收或退回线索，明确负责人</w:t>
            </w:r>
          </w:p>
        </w:tc>
        <w:tc>
          <w:tcPr>
            <w:tcW w:type="dxa" w:w="192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lead.assigned / lead.accepted / lead.rejected</w:t>
            </w:r>
          </w:p>
        </w:tc>
      </w:tr>
      <w:tr>
        <w:tc>
          <w:tcPr>
            <w:tcW w:type="dxa" w:w="112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3. 建立会话</w:t>
            </w:r>
          </w:p>
        </w:tc>
        <w:tc>
          <w:tcPr>
            <w:tcW w:type="dxa" w:w="27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下发渠道上下文、推荐话术和风险提示</w:t>
            </w:r>
          </w:p>
        </w:tc>
        <w:tc>
          <w:tcPr>
            <w:tcW w:type="dxa" w:w="28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查看客户消息并首响，必要时使用 AI 建议</w:t>
            </w:r>
          </w:p>
        </w:tc>
        <w:tc>
          <w:tcPr>
            <w:tcW w:type="dxa" w:w="192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conversation.opened / message.sent</w:t>
            </w:r>
          </w:p>
        </w:tc>
      </w:tr>
      <w:tr>
        <w:tc>
          <w:tcPr>
            <w:tcW w:type="dxa" w:w="112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4. 跟进与推进</w:t>
            </w:r>
          </w:p>
        </w:tc>
        <w:tc>
          <w:tcPr>
            <w:tcW w:type="dxa" w:w="27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监控 SLA、触发催办、提供内容与任务</w:t>
            </w:r>
          </w:p>
        </w:tc>
        <w:tc>
          <w:tcPr>
            <w:tcW w:type="dxa" w:w="28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记录需求、更新阶段、发报价、预约下一步</w:t>
            </w:r>
          </w:p>
        </w:tc>
        <w:tc>
          <w:tcPr>
            <w:tcW w:type="dxa" w:w="192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customer.stage_changed / task.completed</w:t>
            </w:r>
          </w:p>
        </w:tc>
      </w:tr>
      <w:tr>
        <w:tc>
          <w:tcPr>
            <w:tcW w:type="dxa" w:w="112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5. 成交与复盘</w:t>
            </w:r>
          </w:p>
        </w:tc>
        <w:tc>
          <w:tcPr>
            <w:tcW w:type="dxa" w:w="27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归因、分析素材与渠道效果、优化策略</w:t>
            </w:r>
          </w:p>
        </w:tc>
        <w:tc>
          <w:tcPr>
            <w:tcW w:type="dxa" w:w="28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确认成交或流失原因，沉淀关键信息</w:t>
            </w:r>
          </w:p>
        </w:tc>
        <w:tc>
          <w:tcPr>
            <w:tcW w:type="dxa" w:w="192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deal.won / deal.lost / outcome.recorded</w:t>
            </w:r>
          </w:p>
        </w:tc>
      </w:tr>
    </w:tbl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五、融合架构建议</w:t>
      </w:r>
    </w:p>
    <w:p>
      <w:pPr>
        <w:spacing w:after="120" w:line="30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采用“共享核心服务 + 事件驱动协作 + 双前端权限隔离”的架构。系统后台与客来来可以继续使用不同前端技术栈，但不得各自维护一套客户、任务、权限和指标口径。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共享服务：客户主数据、会话服务、线索分配、任务编排、内容资产、权限、审计、指标与归因。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事件总线或 Outbox：将线索分配、客户阶段变化、消息发送、任务完成、成交结果作为可靠业务事件；先在现有 API 内实现 Outbox，再演进为消息队列。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跳转方式：后台的“分配给某人”应直接生成客来来的待办与客户上下文；客来来只显示与当前用户相关的任务。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权限方式：后台具备策略修改、任务暂停、审核和审计权；客来来具备客户处理、结果回传和有限的任务确认权。</w:t>
      </w:r>
    </w:p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六、分阶段落地路线图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870"/>
        <w:gridCol w:w="2876"/>
      </w:tblGrid>
      <w:tr>
        <w:tc>
          <w:tcPr>
            <w:tcW w:type="dxa" w:w="1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周期</w:t>
            </w:r>
          </w:p>
        </w:tc>
        <w:tc>
          <w:tcPr>
            <w:tcW w:type="dxa" w:w="38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交付范围</w:t>
            </w:r>
          </w:p>
        </w:tc>
        <w:tc>
          <w:tcPr>
            <w:tcW w:type="dxa" w:w="287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P0 统一口径</w:t>
            </w:r>
          </w:p>
        </w:tc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1 周</w:t>
            </w:r>
          </w:p>
        </w:tc>
        <w:tc>
          <w:tcPr>
            <w:tcW w:type="dxa" w:w="38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统一 Lead/Customer/Conversation/Task ID、角色、事件字典和指标口径</w:t>
            </w:r>
          </w:p>
        </w:tc>
        <w:tc>
          <w:tcPr>
            <w:tcW w:type="dxa" w:w="287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两端同一客户不重复建档；同一任务可追溯</w:t>
            </w:r>
          </w:p>
        </w:tc>
      </w:tr>
      <w:tr>
        <w:tc>
          <w:tcPr>
            <w:tcW w:type="dxa" w:w="1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P1 线索到会话</w:t>
            </w:r>
          </w:p>
        </w:tc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2-3 周</w:t>
            </w:r>
          </w:p>
        </w:tc>
        <w:tc>
          <w:tcPr>
            <w:tcW w:type="dxa" w:w="38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后台分配高意向线索；客来来接收、首响、退回与结果回传</w:t>
            </w:r>
          </w:p>
        </w:tc>
        <w:tc>
          <w:tcPr>
            <w:tcW w:type="dxa" w:w="287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90% 以上已分配线索在客来来可见；首响和退回原因可统计</w:t>
            </w:r>
          </w:p>
        </w:tc>
      </w:tr>
      <w:tr>
        <w:tc>
          <w:tcPr>
            <w:tcW w:type="dxa" w:w="1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P2 任务与内容协同</w:t>
            </w:r>
          </w:p>
        </w:tc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3-4 周</w:t>
            </w:r>
          </w:p>
        </w:tc>
        <w:tc>
          <w:tcPr>
            <w:tcW w:type="dxa" w:w="38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内容/智能体任务下发；一线确认执行并反馈效果</w:t>
            </w:r>
          </w:p>
        </w:tc>
        <w:tc>
          <w:tcPr>
            <w:tcW w:type="dxa" w:w="287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任务成功、失败、人工覆盖均可审计</w:t>
            </w:r>
          </w:p>
        </w:tc>
      </w:tr>
      <w:tr>
        <w:tc>
          <w:tcPr>
            <w:tcW w:type="dxa" w:w="1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P3 策略闭环</w:t>
            </w:r>
          </w:p>
        </w:tc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4-6 周</w:t>
            </w:r>
          </w:p>
        </w:tc>
        <w:tc>
          <w:tcPr>
            <w:tcW w:type="dxa" w:w="38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按渠道、内容、销售动作和成交结果做归因，支持策略迭代</w:t>
            </w:r>
          </w:p>
        </w:tc>
        <w:tc>
          <w:tcPr>
            <w:tcW w:type="dxa" w:w="287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能解释线索来源到成交的关键路径和损耗点</w:t>
            </w:r>
          </w:p>
        </w:tc>
      </w:tr>
      <w:tr>
        <w:tc>
          <w:tcPr>
            <w:tcW w:type="dxa" w:w="1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P4 受控自动化</w:t>
            </w:r>
          </w:p>
        </w:tc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持续</w:t>
            </w:r>
          </w:p>
        </w:tc>
        <w:tc>
          <w:tcPr>
            <w:tcW w:type="dxa" w:w="387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外呼、自动私信等能力在审批、频控、风控下逐步开放</w:t>
            </w:r>
          </w:p>
        </w:tc>
        <w:tc>
          <w:tcPr>
            <w:tcW w:type="dxa" w:w="287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无未授权触达；异常可暂停、可回放、可复盘</w:t>
            </w:r>
          </w:p>
        </w:tc>
      </w:tr>
    </w:tbl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七、首期 KPI 与治理要求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246"/>
      </w:tblGrid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类别</w:t>
            </w:r>
          </w:p>
        </w:tc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首期指标</w:t>
            </w:r>
          </w:p>
        </w:tc>
        <w:tc>
          <w:tcPr>
            <w:tcW w:type="dxa" w:w="3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1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/>
                <w:bCs/>
                <w:color w:val="1D4ED8"/>
                <w:sz w:val="20"/>
                <w:szCs w:val="20"/>
              </w:rPr>
              <w:t xml:space="preserve">管理用途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业务效率</w:t>
            </w:r>
          </w:p>
        </w:tc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线索接收率、首响时长、24 小时有效跟进率、阶段推进率</w:t>
            </w:r>
          </w:p>
        </w:tc>
        <w:tc>
          <w:tcPr>
            <w:tcW w:type="dxa" w:w="3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识别分配是否有效、是否存在无人跟进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经营结果</w:t>
            </w:r>
          </w:p>
        </w:tc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高意向线索成交率、渠道到成交转化、单成交获客成本</w:t>
            </w:r>
          </w:p>
        </w:tc>
        <w:tc>
          <w:tcPr>
            <w:tcW w:type="dxa" w:w="3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优化预算、渠道和内容策略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系统质量</w:t>
            </w:r>
          </w:p>
        </w:tc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任务成功率、失败重试率、事件延迟、接口可用性</w:t>
            </w:r>
          </w:p>
        </w:tc>
        <w:tc>
          <w:tcPr>
            <w:tcW w:type="dxa" w:w="3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评估调度可靠性</w:t>
            </w:r>
          </w:p>
        </w:tc>
      </w:tr>
      <w:tr>
        <w:tc>
          <w:tcPr>
            <w:tcW w:type="dxa" w:w="1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合规治理</w:t>
            </w:r>
          </w:p>
        </w:tc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风险命中率、人工覆盖率、未授权触达数、审计覆盖率</w:t>
            </w:r>
          </w:p>
        </w:tc>
        <w:tc>
          <w:tcPr>
            <w:tcW w:type="dxa" w:w="3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STHeiti" w:hAnsi="Arial"/>
                <w:b w:val="false"/>
                <w:bCs w:val="false"/>
                <w:color w:val="172033"/>
                <w:sz w:val="18"/>
                <w:szCs w:val="18"/>
              </w:rPr>
              <w:t xml:space="preserve">确保自动化可控而非黑盒</w:t>
            </w:r>
          </w:p>
        </w:tc>
      </w:tr>
    </w:tbl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八、关键风险与决策门槛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不要把演示 KPI 当作经营数据。所有后台图表应标注数据来源、时间范围和计算口径。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不要先做全自动触达。社媒私信、外呼和内容发布必须以渠道授权、频次限制、人工审核和审计为前置条件。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不要让客户数据双写。后台分配与客来来处理必须以同一个 customer_id / lead_id 为准。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不要让一线人员承担系统调度复杂度。异常、策略、风控和权限配置留在后台；客来来只呈现与当前客户和任务相关的动作。</w:t>
      </w:r>
    </w:p>
    <w:p>
      <w:pPr>
        <w:pStyle w:val="Heading1"/>
        <w:pBdr>
          <w:bottom w:val="single" w:color="2563EB" w:sz="8" w:space="6"/>
        </w:pBdr>
        <w:spacing w:after="140" w:before="300"/>
      </w:pPr>
      <w:r>
        <w:rPr>
          <w:rFonts w:ascii="Arial" w:cs="Arial" w:eastAsia="STHeiti" w:hAnsi="Arial"/>
          <w:b/>
          <w:bCs/>
          <w:color w:val="0F172A"/>
          <w:sz w:val="30"/>
          <w:szCs w:val="30"/>
        </w:rPr>
        <w:t xml:space="preserve">九、最终建议</w:t>
      </w:r>
    </w:p>
    <w:p>
      <w:pPr>
        <w:spacing w:after="120" w:line="300"/>
      </w:pPr>
      <w:r>
        <w:rPr>
          <w:rFonts w:ascii="Arial" w:cs="Arial" w:eastAsia="STHeiti" w:hAnsi="Arial"/>
          <w:color w:val="172033"/>
          <w:sz w:val="21"/>
          <w:szCs w:val="21"/>
        </w:rPr>
        <w:t xml:space="preserve">建议批准“一个业务中台、两个角色产品”的融合方向。首期只打通高意向线索从后台进入客来来消息中心，以及处理结果回流后台两条链路。这个范围能最快验证商业价值，同时避免前端重写、数据双份和自动化失控。</w:t>
      </w:r>
    </w:p>
    <w:p>
      <w:pPr>
        <w:spacing w:after="0" w:before="220"/>
      </w:pPr>
      <w:r>
        <w:rPr>
          <w:rFonts w:ascii="Arial" w:cs="Arial" w:eastAsia="STHeiti" w:hAnsi="Arial"/>
          <w:b/>
          <w:bCs/>
          <w:color w:val="334155"/>
          <w:sz w:val="21"/>
          <w:szCs w:val="21"/>
        </w:rPr>
        <w:t xml:space="preserve">核验范围：</w:t>
      </w:r>
      <w:r>
        <w:rPr>
          <w:rFonts w:ascii="Arial" w:cs="Arial" w:eastAsia="STHeiti" w:hAnsi="Arial"/>
          <w:color w:val="475569"/>
          <w:sz w:val="21"/>
          <w:szCs w:val="21"/>
        </w:rPr>
        <w:t xml:space="preserve">本地客来来 React/Tauri 前端、FastAPI 服务接口、业务调度后台 Vue 路由与数据调用。结论区分了现有可接入能力与仍使用 MOCK 的原型能力。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STHeiti" w:hAnsi="Arial"/>
        <w:color w:val="64748B"/>
        <w:sz w:val="16"/>
        <w:szCs w:val="16"/>
      </w:rPr>
      <w:t xml:space="preserve">客来来融合业务报告  |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THeit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STHeiti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STHeiti" w:hAnsi="Arial"/>
      <w:b/>
      <w:bCs/>
      <w:color w:val="1E3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客来来与业务调度后台融合业务报告</dc:title>
  <dc:creator>Codex</dc:creator>
  <dc:description>系统后台与客户经营工作台的融合业务报告</dc:description>
  <cp:lastModifiedBy>Un-named</cp:lastModifiedBy>
  <cp:revision>1</cp:revision>
  <dcterms:created xsi:type="dcterms:W3CDTF">2026-07-15T08:24:10.555Z</dcterms:created>
  <dcterms:modified xsi:type="dcterms:W3CDTF">2026-07-15T08:24:10.560Z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