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40" w:after="140"/>
        <w:jc w:val="center"/>
      </w:pPr>
      <w:r>
        <w:t>客来来服务商隐私政策</w:t>
      </w:r>
    </w:p>
    <w:p>
      <w:pPr>
        <w:pStyle w:val="LegalMetadata"/>
      </w:pPr>
      <w:r>
        <w:t>服务提供者：成都修茈科技有限公司</w:t>
      </w:r>
    </w:p>
    <w:p>
      <w:pPr>
        <w:pStyle w:val="LegalMetadata"/>
      </w:pPr>
      <w:r>
        <w:t>适用产品：客来来（企业微信第三方应用标识：ww4ede93d0329bf40d）</w:t>
      </w:r>
    </w:p>
    <w:p>
      <w:pPr>
        <w:pStyle w:val="LegalMetadata"/>
      </w:pPr>
      <w:r>
        <w:t>版本：V1.0    更新日期：2026年7月14日    生效日期：2026年7月14日</w:t>
      </w:r>
    </w:p>
    <w:p>
      <w:pPr>
        <w:pStyle w:val="LegalLead"/>
        <w:shd w:fill="EAF2F8"/>
      </w:pPr>
      <w:r>
        <w:rPr>
          <w:rFonts w:ascii="Arial Unicode MS" w:hAnsi="Arial Unicode MS" w:eastAsia="Arial Unicode MS"/>
          <w:color w:val="20262E"/>
          <w:sz w:val="21"/>
        </w:rPr>
        <w:t>本政策说明成都修茈科技有限公司作为客来来服务提供者，在企业通过企业微信安装、授权和使用客来来时如何处理个人信息与企业业务数据。请企业管理员在授权前完整阅读，并向本企业成员、外部联系人及其他相关个人履行必要的告知义务。</w:t>
      </w:r>
    </w:p>
    <w:p>
      <w:pPr>
        <w:pStyle w:val="LegalNotice"/>
        <w:shd w:fill="F3F5F7"/>
      </w:pPr>
      <w:r>
        <w:rPr>
          <w:rFonts w:ascii="Hiragino Sans GB" w:hAnsi="Hiragino Sans GB" w:eastAsia="Hiragino Sans GB"/>
          <w:b/>
          <w:color w:val="163A5F"/>
          <w:sz w:val="19"/>
        </w:rPr>
        <w:t>重要提示：</w:t>
      </w:r>
      <w:r>
        <w:rPr>
          <w:rFonts w:ascii="Arial Unicode MS" w:hAnsi="Arial Unicode MS" w:eastAsia="Arial Unicode MS"/>
          <w:color w:val="163A5F"/>
          <w:sz w:val="19"/>
        </w:rPr>
        <w:t>若您代表企业安装、授权或管理本应用，您确认已获得企业的合法授权，并已根据适用法律完成必要的内部审批、告知、同意或其他个人信息处理基础。</w:t>
      </w:r>
    </w:p>
    <w:p>
      <w:pPr>
        <w:pStyle w:val="Heading1"/>
      </w:pPr>
      <w:r>
        <w:t>一、适用范围与基本定义</w:t>
      </w:r>
    </w:p>
    <w:p>
      <w:r>
        <w:rPr>
          <w:rFonts w:ascii="Arial Unicode MS" w:hAnsi="Arial Unicode MS" w:eastAsia="Arial Unicode MS"/>
          <w:color w:val="20262E"/>
          <w:sz w:val="21"/>
        </w:rPr>
        <w:t>本政策适用于客来来企业微信第三方应用、与其配套的桌面端、网页端、服务端接口及客户支持服务。企业自行部署的版本，以企业实际部署环境和双方书面约定为准。</w:t>
      </w:r>
    </w:p>
    <w:p>
      <w:r>
        <w:rPr>
          <w:rFonts w:ascii="Arial Unicode MS" w:hAnsi="Arial Unicode MS" w:eastAsia="Arial Unicode MS"/>
          <w:color w:val="20262E"/>
          <w:sz w:val="21"/>
        </w:rPr>
        <w:t>“企业用户”指安装、授权或使用本服务的组织及其管理员；“个人用户”包括企业成员、外部联系人、客户及其他自然人；“企业业务数据”指企业在使用服务过程中导入、生成、接收或管理的数据，其中可能包含个人信息。</w:t>
      </w:r>
    </w:p>
    <w:p>
      <w:r>
        <w:rPr>
          <w:rFonts w:ascii="Arial Unicode MS" w:hAnsi="Arial Unicode MS" w:eastAsia="Arial Unicode MS"/>
          <w:color w:val="20262E"/>
          <w:sz w:val="21"/>
        </w:rPr>
        <w:t>本政策不适用于企业微信平台自身、企业另行接入的模型服务商、支付机构或其他第三方独立提供的服务。相关第三方作为独立个人信息处理者时，其处理活动适用其自身规则。</w:t>
      </w:r>
    </w:p>
    <w:p>
      <w:pPr>
        <w:pStyle w:val="Heading1"/>
      </w:pPr>
      <w:r>
        <w:t>二、我们与企业用户的个人信息处理角色</w:t>
      </w:r>
    </w:p>
    <w:p>
      <w:r>
        <w:rPr>
          <w:rFonts w:ascii="Arial Unicode MS" w:hAnsi="Arial Unicode MS" w:eastAsia="Arial Unicode MS"/>
          <w:color w:val="20262E"/>
          <w:sz w:val="21"/>
        </w:rPr>
        <w:t>对于企业账号注册、合同履行、计费结算、安全审计、客户支持等由我们自主决定处理目的和方式的活动，我们依法承担个人信息处理者责任。</w:t>
      </w:r>
    </w:p>
    <w:p>
      <w:r>
        <w:rPr>
          <w:rFonts w:ascii="Arial Unicode MS" w:hAnsi="Arial Unicode MS" w:eastAsia="Arial Unicode MS"/>
          <w:color w:val="20262E"/>
          <w:sz w:val="21"/>
        </w:rPr>
        <w:t>对于企业在授权范围内同步、导入和管理的企业成员、外部联系人、客户、消息及业务记录，企业用户通常决定处理目的和方式，我们通常依据企业指令作为受托处理方处理。企业应确保其指令合法、正当、必要，并对向个人履行告知、取得同意或具备其他合法处理基础负责。</w:t>
      </w:r>
    </w:p>
    <w:p>
      <w:r>
        <w:rPr>
          <w:rFonts w:ascii="Arial Unicode MS" w:hAnsi="Arial Unicode MS" w:eastAsia="Arial Unicode MS"/>
          <w:color w:val="20262E"/>
          <w:sz w:val="21"/>
        </w:rPr>
        <w:t>若特定场景中双方共同决定处理目的和方式，或法律法规对角色另有规定，双方将依法通过补充协议、产品提示或其他方式明确各自责任。</w:t>
      </w:r>
    </w:p>
    <w:p>
      <w:pPr>
        <w:pStyle w:val="Heading1"/>
      </w:pPr>
      <w:r>
        <w:t>三、我们处理的信息及使用目的</w:t>
      </w:r>
    </w:p>
    <w:p>
      <w:r>
        <w:rPr>
          <w:rFonts w:ascii="Arial Unicode MS" w:hAnsi="Arial Unicode MS" w:eastAsia="Arial Unicode MS"/>
          <w:color w:val="20262E"/>
          <w:sz w:val="21"/>
        </w:rPr>
        <w:t>我们遵循目的明确、最小必要和权限最小化原则，仅在企业授权范围和实现相应功能所必要的期限内处理信息。具体范围会因企业开通功能、企业微信授权权限、部署方式及企业自主配置而不同。</w:t>
      </w:r>
    </w:p>
    <w:tbl>
      <w:tblPr>
        <w:tblW w:type="auto" w:w="0"/>
        <w:jc w:val="center"/>
        <w:tblLayout w:type="fixed"/>
        <w:tblLook w:firstColumn="1" w:firstRow="1" w:lastColumn="0" w:lastRow="0" w:noHBand="0" w:noVBand="1" w:val="04A0"/>
        <w:tblBorders>
          <w:top w:val="single" w:sz="5" w:space="0" w:color="D8DEE5"/>
          <w:left w:val="single" w:sz="5" w:space="0" w:color="D8DEE5"/>
          <w:bottom w:val="single" w:sz="5" w:space="0" w:color="D8DEE5"/>
          <w:right w:val="single" w:sz="5" w:space="0" w:color="D8DEE5"/>
          <w:insideH w:val="single" w:sz="5" w:space="0" w:color="D8DEE5"/>
          <w:insideV w:val="single" w:sz="5" w:space="0" w:color="D8DEE5"/>
        </w:tblBorders>
      </w:tblPr>
      <w:tblGrid>
        <w:gridCol w:w="3235"/>
        <w:gridCol w:w="3235"/>
        <w:gridCol w:w="3235"/>
      </w:tblGrid>
      <w:tr>
        <w:trPr>
          <w:tblHeader w:val="true"/>
          <w:cantSplit/>
        </w:trPr>
        <w:tc>
          <w:tcPr>
            <w:tcW w:type="dxa" w:w="1800"/>
            <w:shd w:fill="163A5F"/>
            <w:tcMar>
              <w:top w:w="90" w:type="dxa"/>
              <w:start w:w="110" w:type="dxa"/>
              <w:bottom w:w="90" w:type="dxa"/>
              <w:end w:w="110" w:type="dxa"/>
            </w:tcMar>
            <w:vAlign w:val="center"/>
          </w:tcPr>
          <w:p>
            <w:pPr>
              <w:spacing w:after="0"/>
              <w:jc w:val="center"/>
            </w:pPr>
            <w:r>
              <w:rPr>
                <w:rFonts w:ascii="Hiragino Sans GB" w:hAnsi="Hiragino Sans GB" w:eastAsia="Hiragino Sans GB"/>
                <w:b/>
                <w:color w:val="FFFFFF"/>
                <w:sz w:val="18"/>
              </w:rPr>
              <w:t>信息类别</w:t>
            </w:r>
          </w:p>
        </w:tc>
        <w:tc>
          <w:tcPr>
            <w:tcW w:type="dxa" w:w="4968"/>
            <w:shd w:fill="163A5F"/>
            <w:tcMar>
              <w:top w:w="90" w:type="dxa"/>
              <w:start w:w="110" w:type="dxa"/>
              <w:bottom w:w="90" w:type="dxa"/>
              <w:end w:w="110" w:type="dxa"/>
            </w:tcMar>
            <w:vAlign w:val="center"/>
          </w:tcPr>
          <w:p>
            <w:pPr>
              <w:spacing w:after="0"/>
              <w:jc w:val="center"/>
            </w:pPr>
            <w:r>
              <w:rPr>
                <w:rFonts w:ascii="Hiragino Sans GB" w:hAnsi="Hiragino Sans GB" w:eastAsia="Hiragino Sans GB"/>
                <w:b/>
                <w:color w:val="FFFFFF"/>
                <w:sz w:val="18"/>
              </w:rPr>
              <w:t>可能包含的具体字段</w:t>
            </w:r>
          </w:p>
        </w:tc>
        <w:tc>
          <w:tcPr>
            <w:tcW w:type="dxa" w:w="2808"/>
            <w:shd w:fill="163A5F"/>
            <w:tcMar>
              <w:top w:w="90" w:type="dxa"/>
              <w:start w:w="110" w:type="dxa"/>
              <w:bottom w:w="90" w:type="dxa"/>
              <w:end w:w="110" w:type="dxa"/>
            </w:tcMar>
            <w:vAlign w:val="center"/>
          </w:tcPr>
          <w:p>
            <w:pPr>
              <w:spacing w:after="0"/>
              <w:jc w:val="center"/>
            </w:pPr>
            <w:r>
              <w:rPr>
                <w:rFonts w:ascii="Hiragino Sans GB" w:hAnsi="Hiragino Sans GB" w:eastAsia="Hiragino Sans GB"/>
                <w:b/>
                <w:color w:val="FFFFFF"/>
                <w:sz w:val="18"/>
              </w:rPr>
              <w:t>主要用途</w:t>
            </w:r>
          </w:p>
        </w:tc>
      </w:tr>
      <w:tr>
        <w:trPr>
          <w:cantSplit/>
        </w:trPr>
        <w:tc>
          <w:tcPr>
            <w:tcW w:type="dxa" w:w="1800"/>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企业授权与应用身份信息</w:t>
            </w:r>
          </w:p>
        </w:tc>
        <w:tc>
          <w:tcPr>
            <w:tcW w:type="dxa" w:w="496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企业 CorpID、企业名称、应用/Agent 标识、授权状态、授权时间、管理员或操作用户标识、安装回调状态；企业微信返回的授权信息。SuiteTicket、SuiteSecret、永久授权码等服务端凭据以加密或受控方式保存，不向普通客户端展示。</w:t>
            </w:r>
          </w:p>
        </w:tc>
        <w:tc>
          <w:tcPr>
            <w:tcW w:type="dxa" w:w="280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完成第三方应用安装、换取访问凭证、维护授权关系、校验回调、同步授权范围内的数据。</w:t>
            </w:r>
          </w:p>
        </w:tc>
      </w:tr>
      <w:tr>
        <w:trPr>
          <w:cantSplit/>
        </w:trPr>
        <w:tc>
          <w:tcPr>
            <w:tcW w:type="dxa" w:w="1800"/>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账号与组织信息</w:t>
            </w:r>
          </w:p>
        </w:tc>
        <w:tc>
          <w:tcPr>
            <w:tcW w:type="dxa" w:w="496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手机号或电子邮箱、显示名称、头像、团队名称、成员角色、权限、登录和会话状态、邀请关系。</w:t>
            </w:r>
          </w:p>
        </w:tc>
        <w:tc>
          <w:tcPr>
            <w:tcW w:type="dxa" w:w="280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注册登录、身份认证、团队协作、权限控制、账号安全和客户支持。</w:t>
            </w:r>
          </w:p>
        </w:tc>
      </w:tr>
      <w:tr>
        <w:trPr>
          <w:cantSplit/>
        </w:trPr>
        <w:tc>
          <w:tcPr>
            <w:tcW w:type="dxa" w:w="1800"/>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企业成员与外部联系人信息</w:t>
            </w:r>
          </w:p>
        </w:tc>
        <w:tc>
          <w:tcPr>
            <w:tcW w:type="dxa" w:w="496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企业成员 UserID、部门/角色等授权字段；外部联系人 external_userid、姓名、头像、类型、性别、UnionID（如平台返回）、跟进成员、备注、标签及关系状态。</w:t>
            </w:r>
          </w:p>
        </w:tc>
        <w:tc>
          <w:tcPr>
            <w:tcW w:type="dxa" w:w="280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建立客户档案、识别联系人、分配跟进、维护客户关系和企业协作。</w:t>
            </w:r>
          </w:p>
        </w:tc>
      </w:tr>
      <w:tr>
        <w:trPr>
          <w:cantSplit/>
        </w:trPr>
        <w:tc>
          <w:tcPr>
            <w:tcW w:type="dxa" w:w="1800"/>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消息、事件与沟通记录</w:t>
            </w:r>
          </w:p>
        </w:tc>
        <w:tc>
          <w:tcPr>
            <w:tcW w:type="dxa" w:w="496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发送方/接收方标识、消息类型和内容、媒体文件引用、时间、送达或处理状态、回调事件、客户意向和跟进状态。</w:t>
            </w:r>
          </w:p>
        </w:tc>
        <w:tc>
          <w:tcPr>
            <w:tcW w:type="dxa" w:w="280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统一收件箱、消息收发、客户服务、业务流程自动化、质检、审计和问题排查。</w:t>
            </w:r>
          </w:p>
        </w:tc>
      </w:tr>
      <w:tr>
        <w:trPr>
          <w:cantSplit/>
        </w:trPr>
        <w:tc>
          <w:tcPr>
            <w:tcW w:type="dxa" w:w="1800"/>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客户与业务管理数据</w:t>
            </w:r>
          </w:p>
        </w:tc>
        <w:tc>
          <w:tcPr>
            <w:tcW w:type="dxa" w:w="496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客户档案、联系人方式、备注、标签、线索阶段、跟进任务、订单或合作记录、导入文件、企业自行配置的字段。</w:t>
            </w:r>
          </w:p>
        </w:tc>
        <w:tc>
          <w:tcPr>
            <w:tcW w:type="dxa" w:w="280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提供客户关系管理、销售协作、数据统计、提醒、导出和企业内部管理。</w:t>
            </w:r>
          </w:p>
        </w:tc>
      </w:tr>
      <w:tr>
        <w:trPr>
          <w:cantSplit/>
        </w:trPr>
        <w:tc>
          <w:tcPr>
            <w:tcW w:type="dxa" w:w="1800"/>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AI 交互与模型调用数据</w:t>
            </w:r>
          </w:p>
        </w:tc>
        <w:tc>
          <w:tcPr>
            <w:tcW w:type="dxa" w:w="496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用户输入、提示词、为完成任务所选取的客户或业务上下文、模型输出、模型名称、调用时间、状态、错误和用量信息。</w:t>
            </w:r>
          </w:p>
        </w:tc>
        <w:tc>
          <w:tcPr>
            <w:tcW w:type="dxa" w:w="280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生成回复建议、意图分析、内容辅助、业务总结和服务质量优化。是否调用及调用哪一模型取决于企业功能选择和配置。</w:t>
            </w:r>
          </w:p>
        </w:tc>
      </w:tr>
      <w:tr>
        <w:trPr>
          <w:cantSplit/>
        </w:trPr>
        <w:tc>
          <w:tcPr>
            <w:tcW w:type="dxa" w:w="1800"/>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设备、网络与安全日志</w:t>
            </w:r>
          </w:p>
        </w:tc>
        <w:tc>
          <w:tcPr>
            <w:tcW w:type="dxa" w:w="496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IP 地址、设备/浏览器/操作系统类型、客户端版本、接口请求时间、操作记录、异常日志、鉴权和风控结果。</w:t>
            </w:r>
          </w:p>
        </w:tc>
        <w:tc>
          <w:tcPr>
            <w:tcW w:type="dxa" w:w="2808"/>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保障系统稳定与安全、防止滥用、定位故障、审计关键操作并履行法定义务。</w:t>
            </w:r>
          </w:p>
        </w:tc>
      </w:tr>
      <w:tr>
        <w:trPr>
          <w:cantSplit/>
        </w:trPr>
        <w:tc>
          <w:tcPr>
            <w:tcW w:type="dxa" w:w="1800"/>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合同、订单与服务支持信息</w:t>
            </w:r>
          </w:p>
        </w:tc>
        <w:tc>
          <w:tcPr>
            <w:tcW w:type="dxa" w:w="496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企业联系人、联系方式、订单/版本、付款及发票状态、工单、沟通记录和反馈。</w:t>
            </w:r>
          </w:p>
        </w:tc>
        <w:tc>
          <w:tcPr>
            <w:tcW w:type="dxa" w:w="2808"/>
            <w:shd w:fill="FAFBFC"/>
            <w:tcMar>
              <w:top w:w="90" w:type="dxa"/>
              <w:start w:w="110" w:type="dxa"/>
              <w:bottom w:w="90" w:type="dxa"/>
              <w:end w:w="110" w:type="dxa"/>
            </w:tcMar>
            <w:vAlign w:val="center"/>
          </w:tcPr>
          <w:p>
            <w:pPr>
              <w:spacing w:after="0" w:line="269" w:lineRule="auto"/>
              <w:jc w:val="left"/>
            </w:pPr>
            <w:r>
              <w:rPr>
                <w:rFonts w:ascii="Arial Unicode MS" w:hAnsi="Arial Unicode MS" w:eastAsia="Arial Unicode MS"/>
                <w:color w:val="20262E"/>
                <w:sz w:val="17"/>
              </w:rPr>
              <w:t>订立和履行合同、计费结算、开票、交付、售后支持和争议处理。</w:t>
            </w:r>
          </w:p>
        </w:tc>
      </w:tr>
    </w:tbl>
    <w:p>
      <w:pPr>
        <w:spacing w:after="0"/>
      </w:pPr>
    </w:p>
    <w:p>
      <w:pPr>
        <w:pStyle w:val="Heading1"/>
      </w:pPr>
      <w:r>
        <w:t>四、处理个人信息的合法性基础</w:t>
      </w:r>
    </w:p>
    <w:p>
      <w:r>
        <w:rPr>
          <w:rFonts w:ascii="Arial Unicode MS" w:hAnsi="Arial Unicode MS" w:eastAsia="Arial Unicode MS"/>
          <w:color w:val="20262E"/>
          <w:sz w:val="21"/>
        </w:rPr>
        <w:t>我们根据具体场景，以取得个人同意、为订立或履行个人作为一方当事人的合同所必需、为依法制定的劳动规章制度和依法签订的集体合同实施人力资源管理所必需、履行法定义务、应对突发公共卫生事件或紧急情况下保护自然人生命健康和财产安全、在合理范围内处理个人自行公开或其他已合法公开的信息，以及法律法规规定的其他情形作为处理基础。</w:t>
      </w:r>
    </w:p>
    <w:p>
      <w:r>
        <w:rPr>
          <w:rFonts w:ascii="Arial Unicode MS" w:hAnsi="Arial Unicode MS" w:eastAsia="Arial Unicode MS"/>
          <w:color w:val="20262E"/>
          <w:sz w:val="21"/>
        </w:rPr>
        <w:t>企业作为个人信息处理者向我们发出处理指令时，应自行确认相应处理基础。需要取得单独同意或书面同意的，企业和我们将根据各自角色依法完成。</w:t>
      </w:r>
    </w:p>
    <w:p>
      <w:pPr>
        <w:pStyle w:val="Heading1"/>
      </w:pPr>
      <w:r>
        <w:t>五、企业微信权限、设备权限与本地存储</w:t>
      </w:r>
    </w:p>
    <w:p>
      <w:pPr>
        <w:pStyle w:val="LegalNumbered"/>
        <w:numPr>
          <w:ilvl w:val="0"/>
          <w:numId w:val="41"/>
        </w:numPr>
      </w:pPr>
      <w:r>
        <w:rPr>
          <w:rFonts w:ascii="Arial Unicode MS" w:hAnsi="Arial Unicode MS" w:eastAsia="Arial Unicode MS"/>
          <w:color w:val="20262E"/>
          <w:sz w:val="21"/>
        </w:rPr>
        <w:t>企业微信权限。我们仅在企业管理员选择并确认的权限范围内调用企业微信接口。企业可通过企业微信管理后台查看、调整或取消授权；取消某项权限可能导致对应功能不可用。</w:t>
      </w:r>
    </w:p>
    <w:p>
      <w:pPr>
        <w:pStyle w:val="LegalNumbered"/>
        <w:numPr>
          <w:ilvl w:val="0"/>
          <w:numId w:val="41"/>
        </w:numPr>
      </w:pPr>
      <w:r>
        <w:rPr>
          <w:rFonts w:ascii="Arial Unicode MS" w:hAnsi="Arial Unicode MS" w:eastAsia="Arial Unicode MS"/>
          <w:color w:val="20262E"/>
          <w:sz w:val="21"/>
        </w:rPr>
        <w:t>设备权限。当用户主动使用扫码、上传附件、保存文件、消息提醒等功能时，客户端可能请求相机、相册/文件或通知权限。拒绝非必要权限不影响其他基础功能；用户可在系统设置中撤回。</w:t>
      </w:r>
    </w:p>
    <w:p>
      <w:pPr>
        <w:pStyle w:val="LegalNumbered"/>
        <w:numPr>
          <w:ilvl w:val="0"/>
          <w:numId w:val="41"/>
        </w:numPr>
      </w:pPr>
      <w:r>
        <w:rPr>
          <w:rFonts w:ascii="Arial Unicode MS" w:hAnsi="Arial Unicode MS" w:eastAsia="Arial Unicode MS"/>
          <w:color w:val="20262E"/>
          <w:sz w:val="21"/>
        </w:rPr>
        <w:t>Cookie 与本地存储。网页端或桌面端可能使用会话 Cookie、Local Storage 或安全存储保存登录状态、界面偏好、设备标识和必要的防伪参数。我们不以此开展与服务无关的行为广告。</w:t>
      </w:r>
    </w:p>
    <w:p>
      <w:pPr>
        <w:pStyle w:val="Heading1"/>
      </w:pPr>
      <w:r>
        <w:t>六、AI 功能与自动化处理</w:t>
      </w:r>
    </w:p>
    <w:p>
      <w:r>
        <w:rPr>
          <w:rFonts w:ascii="Arial Unicode MS" w:hAnsi="Arial Unicode MS" w:eastAsia="Arial Unicode MS"/>
          <w:color w:val="20262E"/>
          <w:sz w:val="21"/>
        </w:rPr>
        <w:t>企业启用 AI 功能时，我们可能将完成所选任务所必要的输入、客户或业务上下文发送给企业选择或配置的模型服务。企业应在启用前评估模型服务商、部署区域和数据使用规则，并避免输入与任务无关的敏感个人信息、商业秘密或受特别限制的数据。</w:t>
      </w:r>
    </w:p>
    <w:p>
      <w:r>
        <w:rPr>
          <w:rFonts w:ascii="Arial Unicode MS" w:hAnsi="Arial Unicode MS" w:eastAsia="Arial Unicode MS"/>
          <w:color w:val="20262E"/>
          <w:sz w:val="21"/>
        </w:rPr>
        <w:t>AI 输出具有概率性，可能不准确、不完整或不适合特定场景。涉及对外发送、客户承诺、定价、合同、财务、医疗、法律、人事决定或其他重要事项时，应由具备权限的人员复核。我们不会仅基于自动化决策对个人权益产生重大影响；如企业另行配置此类场景，应依法提供透明度、公平性和拒绝或说明机制。</w:t>
      </w:r>
    </w:p>
    <w:p>
      <w:r>
        <w:rPr>
          <w:rFonts w:ascii="Arial Unicode MS" w:hAnsi="Arial Unicode MS" w:eastAsia="Arial Unicode MS"/>
          <w:color w:val="20262E"/>
          <w:sz w:val="21"/>
        </w:rPr>
        <w:t>依法需要标识生成合成内容时，我们将在产品能力范围内提供相应提示或技术支持，企业用户亦应在发布、传播或对外发送时履行适用的标识义务。</w:t>
      </w:r>
    </w:p>
    <w:p>
      <w:pPr>
        <w:pStyle w:val="Heading1"/>
      </w:pPr>
      <w:r>
        <w:t>七、委托处理、共享、转移与公开披露</w:t>
      </w:r>
    </w:p>
    <w:p>
      <w:r>
        <w:rPr>
          <w:rFonts w:ascii="Arial Unicode MS" w:hAnsi="Arial Unicode MS" w:eastAsia="Arial Unicode MS"/>
          <w:color w:val="20262E"/>
          <w:sz w:val="21"/>
        </w:rPr>
        <w:t>我们不会出售个人信息。为提供服务，我们可能在最小必要范围内委托或向下列类型的接收方提供信息，并通过合同、权限控制、审计等措施约束其处理活动：</w:t>
      </w:r>
    </w:p>
    <w:p>
      <w:pPr>
        <w:pStyle w:val="LegalNumbered"/>
        <w:numPr>
          <w:ilvl w:val="0"/>
          <w:numId w:val="42"/>
        </w:numPr>
      </w:pPr>
      <w:r>
        <w:rPr>
          <w:rFonts w:ascii="Arial Unicode MS" w:hAnsi="Arial Unicode MS" w:eastAsia="Arial Unicode MS"/>
          <w:color w:val="20262E"/>
          <w:sz w:val="21"/>
        </w:rPr>
        <w:t>企业微信及其运营主体：用于应用安装授权、身份校验、消息和事件回调、成员与外部联系人接口等平台能力。</w:t>
      </w:r>
    </w:p>
    <w:p>
      <w:pPr>
        <w:pStyle w:val="LegalNumbered"/>
        <w:numPr>
          <w:ilvl w:val="0"/>
          <w:numId w:val="42"/>
        </w:numPr>
      </w:pPr>
      <w:r>
        <w:rPr>
          <w:rFonts w:ascii="Arial Unicode MS" w:hAnsi="Arial Unicode MS" w:eastAsia="Arial Unicode MS"/>
          <w:color w:val="20262E"/>
          <w:sz w:val="21"/>
        </w:rPr>
        <w:t>云计算、存储、网络、内容分发、短信、邮件、日志、安全与运维服务商：用于承载服务、发送验证信息、监测故障和防护攻击。</w:t>
      </w:r>
    </w:p>
    <w:p>
      <w:pPr>
        <w:pStyle w:val="LegalNumbered"/>
        <w:numPr>
          <w:ilvl w:val="0"/>
          <w:numId w:val="42"/>
        </w:numPr>
      </w:pPr>
      <w:r>
        <w:rPr>
          <w:rFonts w:ascii="Arial Unicode MS" w:hAnsi="Arial Unicode MS" w:eastAsia="Arial Unicode MS"/>
          <w:color w:val="20262E"/>
          <w:sz w:val="21"/>
        </w:rPr>
        <w:t>企业选择或配置的 AI 模型服务商：仅在企业启用相关功能时，用于完成指定的生成、分析或总结任务。</w:t>
      </w:r>
    </w:p>
    <w:p>
      <w:pPr>
        <w:pStyle w:val="LegalNumbered"/>
        <w:numPr>
          <w:ilvl w:val="0"/>
          <w:numId w:val="42"/>
        </w:numPr>
      </w:pPr>
      <w:r>
        <w:rPr>
          <w:rFonts w:ascii="Arial Unicode MS" w:hAnsi="Arial Unicode MS" w:eastAsia="Arial Unicode MS"/>
          <w:color w:val="20262E"/>
          <w:sz w:val="21"/>
        </w:rPr>
        <w:t>支付、开票、审计、法律和专业顾问：仅在订购、结算、合规、争议处理所必要的范围内。</w:t>
      </w:r>
    </w:p>
    <w:p>
      <w:r>
        <w:rPr>
          <w:rFonts w:ascii="Arial Unicode MS" w:hAnsi="Arial Unicode MS" w:eastAsia="Arial Unicode MS"/>
          <w:color w:val="20262E"/>
          <w:sz w:val="21"/>
        </w:rPr>
        <w:t>发生合并、分立、重组、资产转让、破产清算等导致个人信息转移的情形时，我们将依法告知接收方名称和联系方式，并要求接收方继续履行本政策；处理目的或方式发生变化的，接收方将依法重新取得同意。</w:t>
      </w:r>
    </w:p>
    <w:p>
      <w:r>
        <w:rPr>
          <w:rFonts w:ascii="Arial Unicode MS" w:hAnsi="Arial Unicode MS" w:eastAsia="Arial Unicode MS"/>
          <w:color w:val="20262E"/>
          <w:sz w:val="21"/>
        </w:rPr>
        <w:t>除法律法规规定或为保护生命健康和财产安全所必需外，我们不会公开披露个人信息；确需公开披露时，将依法取得单独同意并进行显著告知。</w:t>
      </w:r>
    </w:p>
    <w:p>
      <w:pPr>
        <w:pStyle w:val="Heading1"/>
      </w:pPr>
      <w:r>
        <w:t>八、信息存储地点与跨境处理</w:t>
      </w:r>
    </w:p>
    <w:p>
      <w:r>
        <w:rPr>
          <w:rFonts w:ascii="Arial Unicode MS" w:hAnsi="Arial Unicode MS" w:eastAsia="Arial Unicode MS"/>
          <w:color w:val="20262E"/>
          <w:sz w:val="21"/>
        </w:rPr>
        <w:t>本服务默认将个人信息存储在中华人民共和国境内，或存储于企业控制的本地设备、服务器和企业选择的境内部署环境。具体存储位置取决于产品版本和双方约定。</w:t>
      </w:r>
    </w:p>
    <w:p>
      <w:r>
        <w:rPr>
          <w:rFonts w:ascii="Arial Unicode MS" w:hAnsi="Arial Unicode MS" w:eastAsia="Arial Unicode MS"/>
          <w:color w:val="20262E"/>
          <w:sz w:val="21"/>
        </w:rPr>
        <w:t>如企业主动选择境外模型、境外接口或其他可能造成个人信息出境的服务，我们会在可适用范围内提供必要提示，并与企业根据各自角色履行个人信息保护影响评估、认证、标准合同、申报安全评估或适用豁免、单独告知和单独同意等法定义务。在相关条件具备前，我们不会擅自为与服务无关的目的向境外提供个人信息。</w:t>
      </w:r>
    </w:p>
    <w:p>
      <w:pPr>
        <w:pStyle w:val="Heading1"/>
      </w:pPr>
      <w:r>
        <w:t>九、信息保存期限与删除</w:t>
      </w:r>
    </w:p>
    <w:p>
      <w:r>
        <w:rPr>
          <w:rFonts w:ascii="Arial Unicode MS" w:hAnsi="Arial Unicode MS" w:eastAsia="Arial Unicode MS"/>
          <w:color w:val="20262E"/>
          <w:sz w:val="21"/>
        </w:rPr>
        <w:t>我们仅在实现本政策所述目的所必要的最短期限内保存信息，并综合考虑企业授权期限、合同和账号存续期、企业配置、业务连续性、安全审计、法定义务及争议处理需要。</w:t>
      </w:r>
    </w:p>
    <w:p>
      <w:pPr>
        <w:pStyle w:val="LegalNumbered"/>
        <w:numPr>
          <w:ilvl w:val="0"/>
          <w:numId w:val="43"/>
        </w:numPr>
      </w:pPr>
      <w:r>
        <w:rPr>
          <w:rFonts w:ascii="Arial Unicode MS" w:hAnsi="Arial Unicode MS" w:eastAsia="Arial Unicode MS"/>
          <w:color w:val="20262E"/>
          <w:sz w:val="21"/>
        </w:rPr>
        <w:t>企业授权信息在授权有效期内保存；取消授权后，除为履行法定义务、结算、审计或争议处理确有必要外，原则上在三十日内删除或匿名化在线业务数据。</w:t>
      </w:r>
    </w:p>
    <w:p>
      <w:pPr>
        <w:pStyle w:val="LegalNumbered"/>
        <w:numPr>
          <w:ilvl w:val="0"/>
          <w:numId w:val="43"/>
        </w:numPr>
      </w:pPr>
      <w:r>
        <w:rPr>
          <w:rFonts w:ascii="Arial Unicode MS" w:hAnsi="Arial Unicode MS" w:eastAsia="Arial Unicode MS"/>
          <w:color w:val="20262E"/>
          <w:sz w:val="21"/>
        </w:rPr>
        <w:t>账号与合同信息在账号或合同存续期内保存；账号注销或合同终止后，按适用法律和争议处理所需期限保存必要记录。</w:t>
      </w:r>
    </w:p>
    <w:p>
      <w:pPr>
        <w:pStyle w:val="LegalNumbered"/>
        <w:numPr>
          <w:ilvl w:val="0"/>
          <w:numId w:val="43"/>
        </w:numPr>
      </w:pPr>
      <w:r>
        <w:rPr>
          <w:rFonts w:ascii="Arial Unicode MS" w:hAnsi="Arial Unicode MS" w:eastAsia="Arial Unicode MS"/>
          <w:color w:val="20262E"/>
          <w:sz w:val="21"/>
        </w:rPr>
        <w:t>网络运行与安全日志按照法律法规要求保存，通常不少于六个月。</w:t>
      </w:r>
    </w:p>
    <w:p>
      <w:pPr>
        <w:pStyle w:val="LegalNumbered"/>
        <w:numPr>
          <w:ilvl w:val="0"/>
          <w:numId w:val="43"/>
        </w:numPr>
      </w:pPr>
      <w:r>
        <w:rPr>
          <w:rFonts w:ascii="Arial Unicode MS" w:hAnsi="Arial Unicode MS" w:eastAsia="Arial Unicode MS"/>
          <w:color w:val="20262E"/>
          <w:sz w:val="21"/>
        </w:rPr>
        <w:t>企业业务数据的具体保存期限可由企业配置或在双方协议中约定；备份中的残留副本将在备份轮换周期内安全清除，期间不再用于日常业务处理。</w:t>
      </w:r>
    </w:p>
    <w:p>
      <w:r>
        <w:rPr>
          <w:rFonts w:ascii="Arial Unicode MS" w:hAnsi="Arial Unicode MS" w:eastAsia="Arial Unicode MS"/>
          <w:color w:val="20262E"/>
          <w:sz w:val="21"/>
        </w:rPr>
        <w:t>如法律法规要求延长保存期限，或司法、行政机关依法要求冻结、保全，我们将按要求处理，并在目的达成后及时删除或匿名化。</w:t>
      </w:r>
    </w:p>
    <w:p>
      <w:pPr>
        <w:pStyle w:val="Heading1"/>
      </w:pPr>
      <w:r>
        <w:t>十、我们采取的安全措施</w:t>
      </w:r>
    </w:p>
    <w:p>
      <w:r>
        <w:rPr>
          <w:rFonts w:ascii="Arial Unicode MS" w:hAnsi="Arial Unicode MS" w:eastAsia="Arial Unicode MS"/>
          <w:color w:val="20262E"/>
          <w:sz w:val="21"/>
        </w:rPr>
        <w:t>我们根据数据敏感程度和风险采取访问控制、最小权限、身份认证、传输加密、凭据加密或安全存储、关键操作日志、备份恢复、漏洞修复、员工保密和应急响应等措施。企业微信 SuiteSecret、SuiteTicket、永久授权码、访问令牌及企业配置的 API Key 等凭据仅用于服务端受控调用，并尽量避免在客户端、日志和支持沟通中明文展示。</w:t>
      </w:r>
    </w:p>
    <w:p>
      <w:r>
        <w:rPr>
          <w:rFonts w:ascii="Arial Unicode MS" w:hAnsi="Arial Unicode MS" w:eastAsia="Arial Unicode MS"/>
          <w:color w:val="20262E"/>
          <w:sz w:val="21"/>
        </w:rPr>
        <w:t>互联网环境无法保证绝对安全。发生或可能发生个人信息泄露、篡改、丢失时，我们将立即采取补救措施，并依法向相关个人和主管部门告知事件类型、可能影响、已采取或拟采取的措施、个人可采取的防范措施及联系方式；法律允许不逐一告知时，依法公告。</w:t>
      </w:r>
    </w:p>
    <w:p>
      <w:pPr>
        <w:pStyle w:val="Heading1"/>
      </w:pPr>
      <w:r>
        <w:t>十一、个人信息主体的权利</w:t>
      </w:r>
    </w:p>
    <w:p>
      <w:r>
        <w:rPr>
          <w:rFonts w:ascii="Arial Unicode MS" w:hAnsi="Arial Unicode MS" w:eastAsia="Arial Unicode MS"/>
          <w:color w:val="20262E"/>
          <w:sz w:val="21"/>
        </w:rPr>
        <w:t>个人依法享有知情、决定、限制或拒绝处理，查阅、复制、更正、补充、删除，撤回同意，注销账号，要求解释处理规则，以及在符合条件时请求转移个人信息等权利。</w:t>
      </w:r>
    </w:p>
    <w:p>
      <w:r>
        <w:rPr>
          <w:rFonts w:ascii="Arial Unicode MS" w:hAnsi="Arial Unicode MS" w:eastAsia="Arial Unicode MS"/>
          <w:color w:val="20262E"/>
          <w:sz w:val="21"/>
        </w:rPr>
        <w:t>企业业务数据通常由企业控制。企业成员、外部联系人或客户可先向相关企业提出请求；企业可通过产品功能处理，或联系我们协助完成。对于由我们独立处理的账号、安全和服务支持信息，可直接发送邮件至本政策所列邮箱。为保护信息安全，我们可能核验身份和请求权限。</w:t>
      </w:r>
    </w:p>
    <w:p>
      <w:r>
        <w:rPr>
          <w:rFonts w:ascii="Arial Unicode MS" w:hAnsi="Arial Unicode MS" w:eastAsia="Arial Unicode MS"/>
          <w:color w:val="20262E"/>
          <w:sz w:val="21"/>
        </w:rPr>
        <w:t>我们原则上在收到完整请求并完成身份核验后十五个工作日内答复。对于重复、明显无依据、需要过多技术手段、可能损害他人合法权益或法律法规允许拒绝的请求，我们可能说明理由后不予处理。</w:t>
      </w:r>
    </w:p>
    <w:p>
      <w:pPr>
        <w:pStyle w:val="Heading1"/>
      </w:pPr>
      <w:r>
        <w:t>十二、未成年人保护</w:t>
      </w:r>
    </w:p>
    <w:p>
      <w:r>
        <w:rPr>
          <w:rFonts w:ascii="Arial Unicode MS" w:hAnsi="Arial Unicode MS" w:eastAsia="Arial Unicode MS"/>
          <w:color w:val="20262E"/>
          <w:sz w:val="21"/>
        </w:rPr>
        <w:t>本服务主要面向企业和具有完全民事行为能力的用户，不以不满十四周岁的未成年人为目标对象。企业不应在无合法处理基础和必要保护措施的情况下向本服务导入未成年人信息。若我们发现未经监护人同意处理了不满十四周岁未成年人的个人信息，将依法核实并尽快删除或采取其他保护措施。</w:t>
      </w:r>
    </w:p>
    <w:p>
      <w:pPr>
        <w:pStyle w:val="Heading1"/>
      </w:pPr>
      <w:r>
        <w:t>十三、企业用户的责任</w:t>
      </w:r>
    </w:p>
    <w:p>
      <w:pPr>
        <w:pStyle w:val="LegalNumbered"/>
        <w:numPr>
          <w:ilvl w:val="0"/>
          <w:numId w:val="44"/>
        </w:numPr>
      </w:pPr>
      <w:r>
        <w:rPr>
          <w:rFonts w:ascii="Arial Unicode MS" w:hAnsi="Arial Unicode MS" w:eastAsia="Arial Unicode MS"/>
          <w:color w:val="20262E"/>
          <w:sz w:val="21"/>
        </w:rPr>
        <w:t>遵循合法、正当、必要和诚信原则，明确处理目的，限定授权人员和权限，避免超范围导入或使用个人信息。</w:t>
      </w:r>
    </w:p>
    <w:p>
      <w:pPr>
        <w:pStyle w:val="LegalNumbered"/>
        <w:numPr>
          <w:ilvl w:val="0"/>
          <w:numId w:val="44"/>
        </w:numPr>
      </w:pPr>
      <w:r>
        <w:rPr>
          <w:rFonts w:ascii="Arial Unicode MS" w:hAnsi="Arial Unicode MS" w:eastAsia="Arial Unicode MS"/>
          <w:color w:val="20262E"/>
          <w:sz w:val="21"/>
        </w:rPr>
        <w:t>依法向企业成员、外部联系人、客户等履行告知义务，并在需要时取得同意、单独同意或书面同意。</w:t>
      </w:r>
    </w:p>
    <w:p>
      <w:pPr>
        <w:pStyle w:val="LegalNumbered"/>
        <w:numPr>
          <w:ilvl w:val="0"/>
          <w:numId w:val="44"/>
        </w:numPr>
      </w:pPr>
      <w:r>
        <w:rPr>
          <w:rFonts w:ascii="Arial Unicode MS" w:hAnsi="Arial Unicode MS" w:eastAsia="Arial Unicode MS"/>
          <w:color w:val="20262E"/>
          <w:sz w:val="21"/>
        </w:rPr>
        <w:t>建立内部账号、数据导出、消息发送、AI 使用和离职交接制度，及时停用不再需要的账号和权限。</w:t>
      </w:r>
    </w:p>
    <w:p>
      <w:pPr>
        <w:pStyle w:val="LegalNumbered"/>
        <w:numPr>
          <w:ilvl w:val="0"/>
          <w:numId w:val="44"/>
        </w:numPr>
      </w:pPr>
      <w:r>
        <w:rPr>
          <w:rFonts w:ascii="Arial Unicode MS" w:hAnsi="Arial Unicode MS" w:eastAsia="Arial Unicode MS"/>
          <w:color w:val="20262E"/>
          <w:sz w:val="21"/>
        </w:rPr>
        <w:t>不得通过本服务非法获取、买卖、泄露、骚扰、歧视或不当画像个人，不得将 AI 输出直接用于违法或高风险决定。</w:t>
      </w:r>
    </w:p>
    <w:p>
      <w:pPr>
        <w:pStyle w:val="Heading1"/>
      </w:pPr>
      <w:r>
        <w:t>十四、政策更新</w:t>
      </w:r>
    </w:p>
    <w:p>
      <w:r>
        <w:rPr>
          <w:rFonts w:ascii="Arial Unicode MS" w:hAnsi="Arial Unicode MS" w:eastAsia="Arial Unicode MS"/>
          <w:color w:val="20262E"/>
          <w:sz w:val="21"/>
        </w:rPr>
        <w:t>我们可能因法律法规、产品功能、处理目的或安全措施变化更新本政策。发生重大变化时，我们会通过企业微信授权页面、产品内通知、网站公告或其他显著方式告知；依法需要重新取得同意的，我们会在继续处理前完成。重大变化包括个人信息处理目的、方式、种类、保存期限、接收方或个人权利行使方式的实质变化。</w:t>
      </w:r>
    </w:p>
    <w:p>
      <w:pPr>
        <w:pStyle w:val="Heading1"/>
      </w:pPr>
      <w:r>
        <w:t>十五、联系我们</w:t>
      </w:r>
    </w:p>
    <w:p>
      <w:r>
        <w:rPr>
          <w:rFonts w:ascii="Arial Unicode MS" w:hAnsi="Arial Unicode MS" w:eastAsia="Arial Unicode MS"/>
          <w:color w:val="20262E"/>
          <w:sz w:val="21"/>
        </w:rPr>
        <w:t>个人信息保护负责人及服务商：成都修茈科技有限公司。网站：https://xiu-ci.com。联系邮箱：support@xiu-ci.com。邮件主题建议注明“客来来隐私权利请求”，并说明所涉企业、账号、请求类型和便于核验的信息。</w:t>
      </w:r>
    </w:p>
    <w:p>
      <w:r>
        <w:rPr>
          <w:rFonts w:ascii="Arial Unicode MS" w:hAnsi="Arial Unicode MS" w:eastAsia="Arial Unicode MS"/>
          <w:color w:val="20262E"/>
          <w:sz w:val="21"/>
        </w:rPr>
        <w:t>如对我们的答复不满意，您可向有管辖权的网信、市场监管、公安等主管部门投诉举报，或依法通过诉讼等途径解决。</w:t>
      </w:r>
    </w:p>
    <w:p>
      <w:pPr>
        <w:pStyle w:val="Heading1"/>
      </w:pPr>
      <w:r>
        <w:t>十六、适用法律与规则</w:t>
      </w:r>
    </w:p>
    <w:p>
      <w:r>
        <w:rPr>
          <w:rFonts w:ascii="Arial Unicode MS" w:hAnsi="Arial Unicode MS" w:eastAsia="Arial Unicode MS"/>
          <w:color w:val="20262E"/>
          <w:sz w:val="21"/>
        </w:rPr>
        <w:t>本政策依据并结合《中华人民共和国个人信息保护法》《中华人民共和国数据安全法》《中华人民共和国网络安全法》《网络数据安全管理条例》《生成式人工智能服务管理暂行办法》《人工智能生成合成内容标识办法》及其他现行适用法律法规制定。如法律法规更新，以届时有效的强制性规定为准。</w:t>
      </w:r>
    </w:p>
    <w:sectPr w:rsidR="00FC693F" w:rsidRPr="0006063C" w:rsidSect="00034616">
      <w:headerReference w:type="default" r:id="rId9"/>
      <w:footerReference w:type="default" r:id="rId10"/>
      <w:pgSz w:w="12240" w:h="15840"/>
      <w:pgMar w:top="1123" w:right="1267" w:bottom="1037" w:left="1267"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Unicode MS" w:hAnsi="Arial Unicode MS" w:eastAsia="Arial Unicode MS"/>
        <w:color w:val="68727D"/>
        <w:sz w:val="17"/>
      </w:rPr>
      <w:t xml:space="preserve">第 </w:t>
    </w:r>
    <w:r>
      <w:rPr>
        <w:rFonts w:ascii="Arial Unicode MS" w:hAnsi="Arial Unicode MS" w:eastAsia="Arial Unicode MS"/>
        <w:color w:val="68727D"/>
        <w:sz w:val="17"/>
      </w:rPr>
      <w:fldChar w:fldCharType="begin"/>
      <w:instrText xml:space="preserve">PAGE</w:instrText>
      <w:fldChar w:fldCharType="end"/>
    </w:r>
    <w:r>
      <w:rPr>
        <w:rFonts w:ascii="Arial Unicode MS" w:hAnsi="Arial Unicode MS" w:eastAsia="Arial Unicode MS"/>
        <w:color w:val="68727D"/>
        <w:sz w:val="17"/>
      </w:rPr>
      <w:t xml:space="preserve"> 页 / 共 </w:t>
    </w:r>
    <w:r>
      <w:rPr>
        <w:rFonts w:ascii="Arial Unicode MS" w:hAnsi="Arial Unicode MS" w:eastAsia="Arial Unicode MS"/>
        <w:color w:val="68727D"/>
        <w:sz w:val="17"/>
      </w:rPr>
      <w:fldChar w:fldCharType="begin"/>
      <w:instrText xml:space="preserve">NUMPAGES</w:instrText>
      <w:fldChar w:fldCharType="end"/>
    </w:r>
    <w:r>
      <w:rPr>
        <w:rFonts w:ascii="Arial Unicode MS" w:hAnsi="Arial Unicode MS" w:eastAsia="Arial Unicode MS"/>
        <w:color w:val="68727D"/>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Hiragino Sans GB" w:hAnsi="Hiragino Sans GB" w:eastAsia="Hiragino Sans GB"/>
        <w:b/>
        <w:color w:val="163A5F"/>
        <w:sz w:val="17"/>
      </w:rPr>
      <w:t>客来来  |  成都修茈科技有限公司</w:t>
    </w:r>
    <w:r>
      <w:rPr>
        <w:rFonts w:ascii="Arial Unicode MS" w:hAnsi="Arial Unicode MS" w:eastAsia="Arial Unicode MS"/>
        <w:color w:val="68727D"/>
        <w:sz w:val="17"/>
      </w:rPr>
      <w:t xml:space="preserve">    服务商隐私政策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0">
    <w:multiLevelType w:val="singleLevel"/>
    <w:lvl w:ilvl="0">
      <w:start w:val="1"/>
      <w:numFmt w:val="decimal"/>
      <w:lvlText w:val="（%1）"/>
      <w:suff w:val="space"/>
      <w:lvlJc w:val="left"/>
      <w:pPr>
        <w:tabs>
          <w:tab w:val="num" w:pos="420"/>
        </w:tabs>
        <w:ind w:left="420" w:hanging="420"/>
      </w:pPr>
    </w:lvl>
  </w:abstractNum>
  <w:num w:numId="41">
    <w:abstractNumId w:val="40"/>
  </w:num>
  <w:num w:numId="42">
    <w:abstractNumId w:val="40"/>
  </w:num>
  <w:num w:numId="43">
    <w:abstractNumId w:val="40"/>
  </w:num>
  <w:num w:numId="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93" w:lineRule="auto" w:after="100"/>
      <w:jc w:val="both"/>
    </w:pPr>
    <w:rPr>
      <w:rFonts w:ascii="Arial Unicode MS" w:hAnsi="Arial Unicode MS" w:eastAsia="Arial Unicode MS"/>
      <w:b w:val="0"/>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Hiragino Sans GB" w:hAnsi="Hiragino Sans GB" w:eastAsia="Hiragino Sans GB"/>
      <w:b/>
      <w:bCs/>
      <w:color w:val="163A5F"/>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Hiragino Sans GB" w:hAnsi="Hiragino Sans GB" w:eastAsia="Hiragino Sans GB"/>
      <w:b/>
      <w:bCs/>
      <w:color w:val="2E6F9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16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galMetadata">
    <w:name w:val="Legal Metadata"/>
    <w:pPr>
      <w:spacing w:after="40"/>
      <w:jc w:val="center"/>
    </w:pPr>
    <w:rPr>
      <w:rFonts w:ascii="Arial Unicode MS" w:hAnsi="Arial Unicode MS" w:eastAsia="Arial Unicode MS"/>
      <w:b w:val="0"/>
      <w:color w:val="4D5965"/>
      <w:sz w:val="19"/>
    </w:rPr>
  </w:style>
  <w:style w:type="paragraph" w:customStyle="1" w:styleId="LegalLead">
    <w:name w:val="Legal Lead"/>
    <w:pPr>
      <w:spacing w:before="160" w:after="180" w:line="312" w:lineRule="auto"/>
      <w:ind w:left="259" w:right="259"/>
      <w:jc w:val="both"/>
    </w:pPr>
    <w:rPr>
      <w:rFonts w:ascii="Arial Unicode MS" w:hAnsi="Arial Unicode MS" w:eastAsia="Arial Unicode MS"/>
      <w:b w:val="0"/>
      <w:color w:val="20262E"/>
      <w:sz w:val="21"/>
    </w:rPr>
  </w:style>
  <w:style w:type="paragraph" w:customStyle="1" w:styleId="LegalNotice">
    <w:name w:val="Legal Notice"/>
    <w:pPr>
      <w:spacing w:before="100" w:after="140" w:line="288" w:lineRule="auto"/>
      <w:ind w:left="230" w:right="230"/>
    </w:pPr>
    <w:rPr>
      <w:rFonts w:ascii="Arial Unicode MS" w:hAnsi="Arial Unicode MS" w:eastAsia="Arial Unicode MS"/>
      <w:b w:val="0"/>
      <w:color w:val="163A5F"/>
      <w:sz w:val="19"/>
    </w:rPr>
  </w:style>
  <w:style w:type="paragraph" w:customStyle="1" w:styleId="LegalNumbered">
    <w:name w:val="Legal Numbered"/>
    <w:pPr>
      <w:spacing w:after="80" w:line="293" w:lineRule="auto"/>
      <w:jc w:val="both"/>
    </w:pPr>
    <w:rPr>
      <w:rFonts w:ascii="Arial Unicode MS" w:hAnsi="Arial Unicode MS" w:eastAsia="Arial Unicode MS"/>
      <w:b w:val="0"/>
      <w:color w:val="20262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客来来服务商隐私政策</dc:title>
  <dc:subject>客来来企业微信第三方应用法律文件</dc:subject>
  <dc:creator>成都修茈科技有限公司</dc:creator>
  <cp:keywords/>
  <dc:description>Generated for WeCom service provider upload.</dc:description>
  <cp:lastModifiedBy/>
  <cp:revision>1</cp:revision>
  <dcterms:created xsi:type="dcterms:W3CDTF">2013-12-23T23:15:00Z</dcterms:created>
  <dcterms:modified xsi:type="dcterms:W3CDTF">2013-12-23T23:15:00Z</dcterms:modified>
  <cp:category/>
</cp:coreProperties>
</file>