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1F4E79"/>
          <w:sz w:val="56"/>
          <w:szCs w:val="56"/>
        </w:rPr>
        <w:t xml:space="preserve">Aluminum / Construction</w:t>
      </w:r>
    </w:p>
    <w:p>
      <w:pPr>
        <w:spacing w:after="400"/>
        <w:jc w:val="center"/>
      </w:pPr>
      <w:r>
        <w:rPr>
          <w:b/>
          <w:bCs/>
          <w:color w:val="2E75B6"/>
          <w:sz w:val="44"/>
          <w:szCs w:val="44"/>
        </w:rPr>
        <w:t xml:space="preserve">Statistical Arbitrage Strategy</w:t>
      </w:r>
    </w:p>
    <w:p>
      <w:pPr>
        <w:spacing w:after="200"/>
        <w:jc w:val="center"/>
      </w:pPr>
      <w:r>
        <w:rPr>
          <w:i/>
          <w:iCs/>
          <w:color w:val="595959"/>
          <w:sz w:val="28"/>
          <w:szCs w:val="28"/>
        </w:rPr>
        <w:t xml:space="preserve">Technical Documentation &amp; Methodology</w:t>
      </w:r>
    </w:p>
    <w:p>
      <w:pPr>
        <w:spacing w:after="1440"/>
        <w:jc w:val="center"/>
      </w:pPr>
      <w:r>
        <w:rPr>
          <w:color w:val="888888"/>
          <w:sz w:val="22"/>
          <w:szCs w:val="22"/>
        </w:rPr>
        <w:t xml:space="preserve">April 21, 2026</w:t>
      </w:r>
    </w:p>
    <w:p>
      <w:r>
        <w:br w:type="page"/>
      </w:r>
    </w:p>
    <w:p>
      <w:pPr>
        <w:pStyle w:val="Heading1"/>
      </w:pPr>
      <w:r>
        <w:t xml:space="preserve">1. Project Overview</w:t>
      </w:r>
    </w:p>
    <w:p>
      <w:pPr>
        <w:spacing w:after="160"/>
      </w:pPr>
      <w:r>
        <w:rPr>
          <w:sz w:val="24"/>
          <w:szCs w:val="24"/>
        </w:rPr>
        <w:t xml:space="preserve">This project implements a pairs trading strategy based on the economic relationship between aluminum prices and US construction company stocks. The pipeline spans data collection, statistical preprocessing, hypothesis testing, signal generation, backtesting, and paper trading — all in Python using freely available market data.</w:t>
      </w:r>
    </w:p>
    <w:p>
      <w:pPr>
        <w:spacing w:after="160"/>
      </w:pPr>
      <w:r>
        <w:t xml:space="preserve"/>
      </w:r>
    </w:p>
    <w:p>
      <w:pPr>
        <w:pStyle w:val="Heading2"/>
      </w:pPr>
      <w:r>
        <w:t xml:space="preserve">1.1 Economic Hypothesis (Corrected)</w:t>
      </w:r>
    </w:p>
    <w:p>
      <w:pPr>
        <w:spacing w:after="160"/>
      </w:pPr>
      <w:r>
        <w:rPr>
          <w:sz w:val="24"/>
          <w:szCs w:val="24"/>
        </w:rPr>
        <w:t xml:space="preserve">The original hypothesis assumed positive co-movement: demand booms would lift both aluminum prices and construction stocks simultaneously. After testing, this was revised. </w:t>
      </w:r>
      <w:r>
        <w:rPr>
          <w:b/>
          <w:bCs/>
          <w:sz w:val="24"/>
          <w:szCs w:val="24"/>
        </w:rPr>
        <w:t xml:space="preserve">Aluminum is an input cost</w:t>
      </w:r>
      <w:r>
        <w:rPr>
          <w:sz w:val="24"/>
          <w:szCs w:val="24"/>
        </w:rPr>
        <w:t xml:space="preserve"> for construction — used in siding, wiring, window frames, and HVAC systems. The corrected model tests three competing hypotheses:</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18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Hypothesis</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Spread Definition</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Economic Logic</w:t>
            </w:r>
          </w:p>
        </w:tc>
        <w:tc>
          <w:tcPr>
            <w:tcW w:type="dxa" w:w="1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Expected Signal</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H1 — Inverse beta</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−Al − β × stock</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Rising Al squeezes builder margins → stocks fall</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Negative correlation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H2 — Cost-margin ratio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Al / stock price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High ratio = Al expensive relative to builders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Ratio mean-reverts as costs pass through</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H3 — Positive beta (null)</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Al − β × stock</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Demand boom lifts both simultaneously</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Positive correlation (benchmark only)</w:t>
            </w:r>
          </w:p>
        </w:tc>
      </w:tr>
    </w:tbl>
    <w:p>
      <w:pPr>
        <w:spacing w:after="160"/>
      </w:pPr>
      <w:r>
        <w:t xml:space="preserve"/>
      </w:r>
    </w:p>
    <w:p>
      <w:pPr>
        <w:pBdr>
          <w:left w:val="single" w:color="378ADD" w:sz="6" w:space="10"/>
        </w:pBdr>
        <w:spacing w:after="80" w:before="80"/>
        <w:ind w:left="360"/>
      </w:pPr>
      <w:r>
        <w:rPr>
          <w:i/>
          <w:iCs/>
          <w:color w:val="0F4C75"/>
          <w:sz w:val="22"/>
          <w:szCs w:val="22"/>
        </w:rPr>
        <w:t xml:space="preserve">ℹ  H3 is kept as a null benchmark. If H3 scores higher than H1/H2, the demand-driven channel dominates in your sample period.</w:t>
      </w:r>
    </w:p>
    <w:p>
      <w:pPr>
        <w:spacing w:after="160"/>
      </w:pPr>
      <w:r>
        <w:t xml:space="preserve"/>
      </w:r>
    </w:p>
    <w:p>
      <w:pPr>
        <w:pStyle w:val="Heading2"/>
      </w:pPr>
      <w: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File</w:t>
            </w:r>
          </w:p>
        </w:tc>
        <w:tc>
          <w:tcPr>
            <w:tcW w:type="dxa" w:w="6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aluminum_statarb.py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Full research pipeline: fetch → preprocess → cointegrate → signal → backtest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paper_trader.py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Bar-by-bar replay simulator with realistic fill model and multi-pair comparison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hypothesis_validator.py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Standalone statistical validation: run this first to test whether the idea holds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DOCUMENTATION.md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Quick-reference code guide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LIMITATIONS.md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Known limitations and mitigations for each</w:t>
            </w:r>
          </w:p>
        </w:tc>
      </w:tr>
    </w:tbl>
    <w:p>
      <w:pPr>
        <w:spacing w:after="160"/>
      </w:pPr>
      <w:r>
        <w:t xml:space="preserve"/>
      </w:r>
    </w:p>
    <w:p>
      <w:r>
        <w:br w:type="page"/>
      </w:r>
    </w:p>
    <w:p>
      <w:pPr>
        <w:pStyle w:val="Heading1"/>
      </w:pPr>
      <w:r>
        <w:t xml:space="preserve">2. Pipeline Architecture</w:t>
      </w:r>
    </w:p>
    <w:p>
      <w:pPr>
        <w:spacing w:after="160"/>
      </w:pPr>
      <w:r>
        <w:rPr>
          <w:sz w:val="24"/>
          <w:szCs w:val="24"/>
        </w:rPr>
        <w:t xml:space="preserve">The research pipeline in aluminum_statarb.py runs six sequential phases. Each phase feeds into the next; results from earlier phases gate whether later phases are valid to run.</w:t>
      </w:r>
    </w:p>
    <w:p>
      <w:pPr>
        <w:spacing w:after="16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20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Phase</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Function</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Output</w:t>
            </w:r>
          </w:p>
        </w:tc>
        <w:tc>
          <w:tcPr>
            <w:tcW w:type="dxa" w:w="2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Gate Condition</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1 — Data</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fetch_prices()</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Aligned price DataFrame</w:t>
            </w:r>
          </w:p>
        </w:tc>
        <w:tc>
          <w:tcPr>
            <w:tcW w:type="dxa" w:w="2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2 — Preprocessing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preprocess()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Clean returns, normality verdicts, stationarity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3 — Cointegration</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build_spread()</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Rolling beta, spread series</w:t>
            </w:r>
          </w:p>
        </w:tc>
        <w:tc>
          <w:tcPr>
            <w:tcW w:type="dxa" w:w="2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Both series I(1)</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4 — Signals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generate_signals()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Z-score, entry/exit/hold signals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Spread stationary</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5 — Backtest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backtest()</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Net Sharpe, drawdown, half-life</w:t>
            </w:r>
          </w:p>
        </w:tc>
        <w:tc>
          <w:tcPr>
            <w:tcW w:type="dxa" w:w="2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Spread tradeable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6 — Live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LiveEngine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Order instructions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Net Sharpe &gt; 0.5</w:t>
            </w:r>
          </w:p>
        </w:tc>
      </w:tr>
    </w:tbl>
    <w:p>
      <w:pPr>
        <w:spacing w:after="160"/>
      </w:pPr>
      <w:r>
        <w:t xml:space="preserve"/>
      </w:r>
    </w:p>
    <w:p>
      <w:r>
        <w:br w:type="page"/>
      </w:r>
    </w:p>
    <w:p>
      <w:pPr>
        <w:pStyle w:val="Heading1"/>
      </w:pPr>
      <w:r>
        <w:t xml:space="preserve">3. Preprocessing Methodology</w:t>
      </w:r>
    </w:p>
    <w:p>
      <w:pPr>
        <w:spacing w:after="160"/>
      </w:pPr>
      <w:r>
        <w:rPr>
          <w:sz w:val="24"/>
          <w:szCs w:val="24"/>
        </w:rPr>
        <w:t xml:space="preserve">The preprocessing pipeline runs four steps in a deliberate order. The order matters: normalization must happen before outlier detection (otherwise the thresholds are scale-dependent), and normality testing must happen before correlation testing (to select the correct test).</w:t>
      </w:r>
    </w:p>
    <w:p>
      <w:pPr>
        <w:spacing w:after="160"/>
      </w:pPr>
      <w:r>
        <w:t xml:space="preserve"/>
      </w:r>
    </w:p>
    <w:p>
      <w:pPr>
        <w:pStyle w:val="Heading2"/>
      </w:pPr>
      <w:r>
        <w:t xml:space="preserve">3.1 Step 1 — Log Returns and Normalization</w:t>
      </w:r>
    </w:p>
    <w:p>
      <w:pPr>
        <w:spacing w:after="160"/>
      </w:pPr>
      <w:r>
        <w:rPr>
          <w:b/>
          <w:bCs/>
          <w:sz w:val="24"/>
          <w:szCs w:val="24"/>
        </w:rPr>
        <w:t xml:space="preserve">Why log returns?</w:t>
      </w:r>
      <w:r>
        <w:rPr>
          <w:sz w:val="24"/>
          <w:szCs w:val="24"/>
        </w:rPr>
        <w:t xml:space="preserve"> Log returns are additive across time periods and approximately symmetric, unlike simple percentage returns which are bounded below at −100%. For a spread strategy, additivity means pair returns compose correctly over holding periods.</w:t>
      </w:r>
    </w:p>
    <w:p>
      <w:pPr>
        <w:spacing w:after="160"/>
      </w:pPr>
      <w:r>
        <w:t xml:space="preserve"/>
      </w:r>
    </w:p>
    <w:p>
      <w:pPr>
        <w:shd w:fill="F0F4F8" w:val="clear"/>
        <w:spacing w:after="0" w:before="0"/>
        <w:ind w:left="360"/>
      </w:pPr>
      <w:r>
        <w:rPr>
          <w:rFonts w:ascii="Courier New" w:cs="Courier New" w:eastAsia="Courier New" w:hAnsi="Courier New"/>
          <w:color w:val="1F4E79"/>
          <w:sz w:val="18"/>
          <w:szCs w:val="18"/>
        </w:rPr>
        <w:t xml:space="preserve">log_returns = np.log(prices / prices.shift(1)).dropna()</w:t>
      </w:r>
    </w:p>
    <w:p>
      <w:pPr>
        <w:shd w:fill="F0F4F8" w:val="clear"/>
        <w:spacing w:after="0" w:before="0"/>
        <w:ind w:left="360"/>
      </w:pPr>
      <w:r>
        <w:rPr>
          <w:rFonts w:ascii="Courier New" w:cs="Courier New" w:eastAsia="Courier New" w:hAnsi="Courier New"/>
          <w:color w:val="1F4E79"/>
          <w:sz w:val="18"/>
          <w:szCs w:val="18"/>
        </w:rPr>
        <w:t xml:space="preserve">scaler = RobustScaler()   # uses median/IQR, not mean/std</w:t>
      </w:r>
    </w:p>
    <w:p>
      <w:pPr>
        <w:shd w:fill="F0F4F8" w:val="clear"/>
        <w:spacing w:after="0" w:before="0"/>
        <w:ind w:left="360"/>
      </w:pPr>
      <w:r>
        <w:rPr>
          <w:rFonts w:ascii="Courier New" w:cs="Courier New" w:eastAsia="Courier New" w:hAnsi="Courier New"/>
          <w:color w:val="1F4E79"/>
          <w:sz w:val="18"/>
          <w:szCs w:val="18"/>
        </w:rPr>
        <w:t xml:space="preserve">scaled = scaler.fit_transform(log_returns)</w:t>
      </w:r>
    </w:p>
    <w:p>
      <w:pPr>
        <w:spacing w:after="160"/>
      </w:pPr>
      <w:r>
        <w:t xml:space="preserve"/>
      </w:r>
    </w:p>
    <w:p>
      <w:pPr>
        <w:spacing w:after="160"/>
      </w:pPr>
      <w:r>
        <w:rPr>
          <w:b/>
          <w:bCs/>
          <w:sz w:val="24"/>
          <w:szCs w:val="24"/>
        </w:rPr>
        <w:t xml:space="preserve">Why RobustScaler over StandardScaler?</w:t>
      </w:r>
      <w:r>
        <w:rPr>
          <w:sz w:val="24"/>
          <w:szCs w:val="24"/>
        </w:rPr>
        <w:t xml:space="preserve"> Commodity and equity returns have fat tails (excess kurtosis 3–8). StandardScaler uses mean and standard deviation — both are heavily distorted by extreme observations. RobustScaler uses the median and interquartile range, which are resistant to outliers. This means the normalised series reflects typical behaviour, not tail events.</w:t>
      </w:r>
    </w:p>
    <w:p>
      <w:pPr>
        <w:spacing w:after="160"/>
      </w:pPr>
      <w:r>
        <w:t xml:space="preserve"/>
      </w:r>
    </w:p>
    <w:p>
      <w:pPr>
        <w:pStyle w:val="Heading2"/>
      </w:pPr>
      <w:r>
        <w:t xml:space="preserve">3.2 Step 2 — Outlier Detection</w:t>
      </w:r>
    </w:p>
    <w:p>
      <w:pPr>
        <w:spacing w:after="160"/>
      </w:pPr>
      <w:r>
        <w:rPr>
          <w:sz w:val="24"/>
          <w:szCs w:val="24"/>
        </w:rPr>
        <w:t xml:space="preserve">Three methods are run in parallel. A consensus flag (at least 2 of 3 agree) identifies outliers.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Method</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Approach</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Strength</w:t>
            </w:r>
          </w:p>
        </w:tc>
        <w:tc>
          <w:tcPr>
            <w:tcW w:type="dxa" w:w="3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Weakness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Z-score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Flag |z| &gt; 3.0</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Simple, interpretable</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Assumes normality — circular for fat tails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IQR fence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Flag outside Q1 − 3×IQR or Q3 + 3×IQR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Non-parametric, robust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Misses multivariate outliers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Isolation Forest</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Anomaly detection via random partitioning</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Catches clustered anomalies</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Requires contamination parameter</w:t>
            </w:r>
          </w:p>
        </w:tc>
      </w:tr>
    </w:tbl>
    <w:p>
      <w:pPr>
        <w:spacing w:after="160"/>
      </w:pPr>
      <w:r>
        <w:t xml:space="preserve"/>
      </w:r>
    </w:p>
    <w:p>
      <w:pPr>
        <w:pBdr>
          <w:left w:val="single" w:color="E24B4A" w:sz="6" w:space="10"/>
        </w:pBdr>
        <w:spacing w:after="80" w:before="80"/>
        <w:ind w:left="360"/>
      </w:pPr>
      <w:r>
        <w:rPr>
          <w:i/>
          <w:iCs/>
          <w:color w:val="7B2D00"/>
          <w:sz w:val="22"/>
          <w:szCs w:val="22"/>
        </w:rPr>
        <w:t xml:space="preserve">⚠  Never delete outlier rows in a pairs strategy. Removing a row from aluminum but not XHB desynchronises the pair — you'd be comparing prices from different dates. Winsorize (cap at 1st/99th percentile) instead.</w:t>
      </w:r>
    </w:p>
    <w:p>
      <w:pPr>
        <w:spacing w:after="160"/>
      </w:pPr>
      <w:r>
        <w:t xml:space="preserve"/>
      </w:r>
    </w:p>
    <w:p>
      <w:pPr>
        <w:pStyle w:val="Heading2"/>
      </w:pPr>
      <w:r>
        <w:t xml:space="preserve">3.3 Step 3 — Normality Testing (Test Selection Gate)</w:t>
      </w:r>
    </w:p>
    <w:p>
      <w:pPr>
        <w:spacing w:after="160"/>
      </w:pPr>
      <w:r>
        <w:rPr>
          <w:sz w:val="24"/>
          <w:szCs w:val="24"/>
        </w:rPr>
        <w:t xml:space="preserve">This step determines which correlation test is statistically valid. It is not optional — applying Pearson correlation to non-normal distributions produces biased p-values and inflated significance.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Test</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H₀</w:t>
            </w:r>
          </w:p>
        </w:tc>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Best for</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Typical result for financials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Shapiro-Wilk</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Data is normally distributed</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 &lt; 5,000, sensitive to any deviation</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Reject (p ≈ 0.001)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Jarque-Bera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Skewness = 0 and excess kurtosis = 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Large samples, tests both moments jointly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Reject strongly</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D'Agostino-Pearson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Data is normally distributed</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General purpose, robust</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Reject</w:t>
            </w:r>
          </w:p>
        </w:tc>
      </w:tr>
    </w:tbl>
    <w:p>
      <w:pPr>
        <w:spacing w:after="160"/>
      </w:pPr>
      <w:r>
        <w:t xml:space="preserve"/>
      </w:r>
    </w:p>
    <w:p>
      <w:pPr>
        <w:spacing w:after="160"/>
      </w:pPr>
      <w:r>
        <w:rPr>
          <w:b/>
          <w:bCs/>
          <w:sz w:val="24"/>
          <w:szCs w:val="24"/>
        </w:rPr>
        <w:t xml:space="preserve">Decision rule:</w:t>
      </w:r>
      <w:r>
        <w:rPr>
          <w:sz w:val="24"/>
          <w:szCs w:val="24"/>
        </w:rPr>
        <w:t xml:space="preserve"> If any test rejects H₀ at α = 0.05, the data is treated as non-normal and Spearman rank correlation is used throughout. Financial daily returns almost always fail normality tests due to excess kurtosis and negative skew.</w:t>
      </w:r>
    </w:p>
    <w:p>
      <w:pPr>
        <w:spacing w:after="160"/>
      </w:pPr>
      <w:r>
        <w:t xml:space="preserve"/>
      </w:r>
    </w:p>
    <w:p>
      <w:pPr>
        <w:pStyle w:val="Heading2"/>
      </w:pPr>
      <w:r>
        <w:t xml:space="preserve">3.4 Step 4 — Stationarity Testing</w:t>
      </w:r>
    </w:p>
    <w:p>
      <w:pPr>
        <w:spacing w:after="160"/>
      </w:pPr>
      <w:r>
        <w:rPr>
          <w:sz w:val="24"/>
          <w:szCs w:val="24"/>
        </w:rPr>
        <w:t xml:space="preserve">Cointegration is only defined for I(1) series (series that are non-stationary in levels but stationary in first differences). Testing stationarity before cointegration is not a formality — it is a prerequisite. Testing cointegration on I(0) series produces meaningless results.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Test</w:t>
            </w:r>
          </w:p>
        </w:tc>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H₀</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Want at levels</w:t>
            </w:r>
          </w:p>
        </w:tc>
        <w:tc>
          <w:tcPr>
            <w:tcW w:type="dxa" w:w="2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Want at differences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ADF (Augmented Dickey-Fuller)</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Unit root exists (non-stationary)</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Fail to reject (p &gt; 0.05) → I(1)</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Reject (p &lt; 0.05) → I(0)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KPSS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Series is stationary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Reject (p &lt; 0.05) → non-stationary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Fail to reject (p &gt; 0.05) → stationary</w:t>
            </w:r>
          </w:p>
        </w:tc>
      </w:tr>
    </w:tbl>
    <w:p>
      <w:pPr>
        <w:spacing w:after="160"/>
      </w:pPr>
      <w:r>
        <w:t xml:space="preserve"/>
      </w:r>
    </w:p>
    <w:p>
      <w:pPr>
        <w:pBdr>
          <w:left w:val="single" w:color="378ADD" w:sz="6" w:space="10"/>
        </w:pBdr>
        <w:spacing w:after="80" w:before="80"/>
        <w:ind w:left="360"/>
      </w:pPr>
      <w:r>
        <w:rPr>
          <w:i/>
          <w:iCs/>
          <w:color w:val="0F4C75"/>
          <w:sz w:val="22"/>
          <w:szCs w:val="22"/>
        </w:rPr>
        <w:t xml:space="preserve">ℹ  ADF and KPSS are used together because they have opposite null hypotheses. Agreement between both (ADF fails to reject AND KPSS rejects) provides stronger evidence of non-stationarity than either test alone.</w:t>
      </w:r>
    </w:p>
    <w:p>
      <w:pPr>
        <w:spacing w:after="160"/>
      </w:pPr>
      <w:r>
        <w:t xml:space="preserve"/>
      </w:r>
    </w:p>
    <w:p>
      <w:r>
        <w:br w:type="page"/>
      </w:r>
    </w:p>
    <w:p>
      <w:pPr>
        <w:pStyle w:val="Heading1"/>
      </w:pPr>
      <w:r>
        <w:t xml:space="preserve">4. Cointegration and Spread Construction</w:t>
      </w:r>
    </w:p>
    <w:p>
      <w:pPr>
        <w:spacing w:after="160"/>
      </w:pPr>
      <w:r>
        <w:rPr>
          <w:sz w:val="24"/>
          <w:szCs w:val="24"/>
        </w:rPr>
        <w:t xml:space="preserve">Cointegration is the statistical backbone of this strategy. Two I(1) series are cointegrated if a linear combination of them is I(0) — stationary. The key insight is that while both prices wander randomly in the long run, they are tied together by an equilibrium relationship. Deviations from that equilibrium are temporary and mean-revert.</w:t>
      </w:r>
    </w:p>
    <w:p>
      <w:pPr>
        <w:spacing w:after="160"/>
      </w:pPr>
      <w:r>
        <w:t xml:space="preserve"/>
      </w:r>
    </w:p>
    <w:p>
      <w:pPr>
        <w:pStyle w:val="Heading2"/>
      </w:pPr>
      <w:r>
        <w:t xml:space="preserve">4.1 Engle-Granger Test</w:t>
      </w:r>
    </w:p>
    <w:p>
      <w:pPr>
        <w:spacing w:after="160"/>
      </w:pPr>
      <w:r>
        <w:rPr>
          <w:sz w:val="24"/>
          <w:szCs w:val="24"/>
        </w:rPr>
        <w:t xml:space="preserve">The simplest two-step procedure. Step 1: estimate the hedge ratio β via OLS (aluminum = β × stock + ε). Step 2: test whether the residual ε is stationary using ADF.</w:t>
      </w:r>
    </w:p>
    <w:p>
      <w:pPr>
        <w:spacing w:after="160"/>
      </w:pPr>
      <w:r>
        <w:t xml:space="preserve"/>
      </w:r>
    </w:p>
    <w:p>
      <w:pPr>
        <w:spacing w:after="160"/>
      </w:pPr>
      <w:r>
        <w:rPr>
          <w:b/>
          <w:bCs/>
          <w:sz w:val="24"/>
          <w:szCs w:val="24"/>
        </w:rPr>
        <w:t xml:space="preserve">Limitation:</w:t>
      </w:r>
      <w:r>
        <w:rPr>
          <w:sz w:val="24"/>
          <w:szCs w:val="24"/>
        </w:rPr>
        <w:t xml:space="preserve"> The result depends on which series is chosen as the dependent variable. Using stock = β × aluminum + ε may give a different answer. The Johansen test resolves this.</w:t>
      </w:r>
    </w:p>
    <w:p>
      <w:pPr>
        <w:spacing w:after="160"/>
      </w:pPr>
      <w:r>
        <w:t xml:space="preserve"/>
      </w:r>
    </w:p>
    <w:p>
      <w:pPr>
        <w:pStyle w:val="Heading2"/>
      </w:pPr>
      <w:r>
        <w:t xml:space="preserve">4.2 Johansen Trace Test</w:t>
      </w:r>
    </w:p>
    <w:p>
      <w:pPr>
        <w:spacing w:after="160"/>
      </w:pPr>
      <w:r>
        <w:rPr>
          <w:sz w:val="24"/>
          <w:szCs w:val="24"/>
        </w:rPr>
        <w:t xml:space="preserve">A multivariate test that treats both series symmetrically. It tests how many cointegrating vectors exist among n series. For two series, the trace statistic tests H₀: zero cointegrating vectors. If the trace statistic exceeds the 5% critical value, reject H₀ — at least one cointegrating relationship exists.</w:t>
      </w:r>
    </w:p>
    <w:p>
      <w:pPr>
        <w:spacing w:after="160"/>
      </w:pPr>
      <w:r>
        <w:t xml:space="preserve"/>
      </w:r>
    </w:p>
    <w:p>
      <w:pPr>
        <w:spacing w:after="160"/>
      </w:pPr>
      <w:r>
        <w:rPr>
          <w:b/>
          <w:bCs/>
          <w:sz w:val="24"/>
          <w:szCs w:val="24"/>
        </w:rPr>
        <w:t xml:space="preserve">Decision rule:</w:t>
      </w:r>
      <w:r>
        <w:rPr>
          <w:sz w:val="24"/>
          <w:szCs w:val="24"/>
        </w:rPr>
        <w:t xml:space="preserve"> Proceed to spread construction only if both Engle-Granger (p &lt; 0.05) AND Johansen (trace &gt; critical value) confirm cointegration. Single-test confirmation is weak evidence.</w:t>
      </w:r>
    </w:p>
    <w:p>
      <w:pPr>
        <w:spacing w:after="160"/>
      </w:pPr>
      <w:r>
        <w:t xml:space="preserve"/>
      </w:r>
    </w:p>
    <w:p>
      <w:pPr>
        <w:pStyle w:val="Heading2"/>
      </w:pPr>
      <w:r>
        <w:t xml:space="preserve">4.3 Rolling Hedge Ratio</w:t>
      </w:r>
    </w:p>
    <w:p>
      <w:pPr>
        <w:spacing w:after="160"/>
      </w:pPr>
      <w:r>
        <w:rPr>
          <w:sz w:val="24"/>
          <w:szCs w:val="24"/>
        </w:rPr>
        <w:t xml:space="preserve">A static hedge ratio estimated on the full sample introduces look-ahead bias and fails to capture the drift in the aluminum-to-construction relationship over time. The pipeline uses a rolling 252-day OLS window, recalibrated on each bar using only past data.</w:t>
      </w:r>
    </w:p>
    <w:p>
      <w:pPr>
        <w:spacing w:after="160"/>
      </w:pPr>
      <w:r>
        <w:t xml:space="preserve"/>
      </w:r>
    </w:p>
    <w:p>
      <w:pPr>
        <w:shd w:fill="F0F4F8" w:val="clear"/>
        <w:spacing w:after="0" w:before="0"/>
        <w:ind w:left="360"/>
      </w:pPr>
      <w:r>
        <w:rPr>
          <w:rFonts w:ascii="Courier New" w:cs="Courier New" w:eastAsia="Courier New" w:hAnsi="Courier New"/>
          <w:color w:val="1F4E79"/>
          <w:sz w:val="18"/>
          <w:szCs w:val="18"/>
        </w:rPr>
        <w:t xml:space="preserve"># Conceptually (actual implementation loops bar-by-bar):</w:t>
      </w:r>
    </w:p>
    <w:p>
      <w:pPr>
        <w:shd w:fill="F0F4F8" w:val="clear"/>
        <w:spacing w:after="0" w:before="0"/>
        <w:ind w:left="360"/>
      </w:pPr>
      <w:r>
        <w:rPr>
          <w:rFonts w:ascii="Courier New" w:cs="Courier New" w:eastAsia="Courier New" w:hAnsi="Courier New"/>
          <w:color w:val="1F4E79"/>
          <w:sz w:val="18"/>
          <w:szCs w:val="18"/>
        </w:rPr>
        <w:t xml:space="preserve">beta_t = OLS(aluminum[t-252:t], stock[t-252:t]).coef</w:t>
      </w:r>
    </w:p>
    <w:p>
      <w:pPr>
        <w:shd w:fill="F0F4F8" w:val="clear"/>
        <w:spacing w:after="0" w:before="0"/>
        <w:ind w:left="360"/>
      </w:pPr>
      <w:r>
        <w:rPr>
          <w:rFonts w:ascii="Courier New" w:cs="Courier New" w:eastAsia="Courier New" w:hAnsi="Courier New"/>
          <w:color w:val="1F4E79"/>
          <w:sz w:val="18"/>
          <w:szCs w:val="18"/>
        </w:rPr>
        <w:t xml:space="preserve">spread_t = aluminum[t] - beta_t * stock[t]</w:t>
      </w:r>
    </w:p>
    <w:p>
      <w:pPr>
        <w:spacing w:after="160"/>
      </w:pPr>
      <w:r>
        <w:t xml:space="preserve"/>
      </w:r>
    </w:p>
    <w:p>
      <w:pPr>
        <w:pBdr>
          <w:left w:val="single" w:color="E24B4A" w:sz="6" w:space="10"/>
        </w:pBdr>
        <w:spacing w:after="80" w:before="80"/>
        <w:ind w:left="360"/>
      </w:pPr>
      <w:r>
        <w:rPr>
          <w:i/>
          <w:iCs/>
          <w:color w:val="7B2D00"/>
          <w:sz w:val="22"/>
          <w:szCs w:val="22"/>
        </w:rPr>
        <w:t xml:space="preserve">⚠  A static beta estimated on the full sample knows the future. This produces artificially stable spreads in backtests. The rolling beta is slower to compute but produces honest results.</w:t>
      </w:r>
    </w:p>
    <w:p>
      <w:pPr>
        <w:spacing w:after="160"/>
      </w:pPr>
      <w:r>
        <w:t xml:space="preserve"/>
      </w:r>
    </w:p>
    <w:p>
      <w:pPr>
        <w:pStyle w:val="Heading2"/>
      </w:pPr>
      <w:r>
        <w:t xml:space="preserve">4.4 Spread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0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Tradeable Range</w:t>
            </w:r>
          </w:p>
        </w:tc>
        <w:tc>
          <w:tcPr>
            <w:tcW w:type="dxa" w:w="3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Interpretation</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Half-life</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−ln(2) / λ where Δspread = λ × spread_{t−1} + ε</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5–60 days</w:t>
            </w:r>
          </w:p>
        </w:tc>
        <w:tc>
          <w:tcPr>
            <w:tcW w:type="dxa" w:w="3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How long it takes the spread to revert halfway to mean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Hurst exponent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R/S analysis slope in log-log space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 &lt; 0.5</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&lt; 0.5 = mean-reverting; = 0.5 = random walk; &gt; 0.5 = trending</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Spread ADF p</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ADF on spread series directly</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 &lt; 0.05</w:t>
            </w:r>
          </w:p>
        </w:tc>
        <w:tc>
          <w:tcPr>
            <w:tcW w:type="dxa" w:w="3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Confirms spread is stationary</w:t>
            </w:r>
          </w:p>
        </w:tc>
      </w:tr>
    </w:tbl>
    <w:p>
      <w:pPr>
        <w:spacing w:after="160"/>
      </w:pPr>
      <w:r>
        <w:t xml:space="preserve"/>
      </w:r>
    </w:p>
    <w:p>
      <w:r>
        <w:br w:type="page"/>
      </w:r>
    </w:p>
    <w:p>
      <w:pPr>
        <w:pStyle w:val="Heading1"/>
      </w:pPr>
      <w:r>
        <w:t xml:space="preserve">5. Signal Generation</w:t>
      </w:r>
    </w:p>
    <w:p>
      <w:pPr>
        <w:spacing w:after="160"/>
      </w:pPr>
      <w:r>
        <w:rPr>
          <w:sz w:val="24"/>
          <w:szCs w:val="24"/>
        </w:rPr>
        <w:t xml:space="preserve">The trading signal is derived from the z-score of the spread — how many standard deviations the current spread is from its rolling mean.</w:t>
      </w:r>
    </w:p>
    <w:p>
      <w:pPr>
        <w:spacing w:after="160"/>
      </w:pPr>
      <w:r>
        <w:t xml:space="preserve"/>
      </w:r>
    </w:p>
    <w:p>
      <w:pPr>
        <w:pStyle w:val="Heading2"/>
      </w:pPr>
      <w:r>
        <w:t xml:space="preserve">5.1 Z-score Calculation</w:t>
      </w:r>
    </w:p>
    <w:p>
      <w:pPr>
        <w:shd w:fill="F0F4F8" w:val="clear"/>
        <w:spacing w:after="0" w:before="0"/>
        <w:ind w:left="360"/>
      </w:pPr>
      <w:r>
        <w:rPr>
          <w:rFonts w:ascii="Courier New" w:cs="Courier New" w:eastAsia="Courier New" w:hAnsi="Courier New"/>
          <w:color w:val="1F4E79"/>
          <w:sz w:val="18"/>
          <w:szCs w:val="18"/>
        </w:rPr>
        <w:t xml:space="preserve">roll_mean = spread.rolling(z_window).mean()</w:t>
      </w:r>
    </w:p>
    <w:p>
      <w:pPr>
        <w:shd w:fill="F0F4F8" w:val="clear"/>
        <w:spacing w:after="0" w:before="0"/>
        <w:ind w:left="360"/>
      </w:pPr>
      <w:r>
        <w:rPr>
          <w:rFonts w:ascii="Courier New" w:cs="Courier New" w:eastAsia="Courier New" w:hAnsi="Courier New"/>
          <w:color w:val="1F4E79"/>
          <w:sz w:val="18"/>
          <w:szCs w:val="18"/>
        </w:rPr>
        <w:t xml:space="preserve">roll_std  = spread.rolling(z_window).std()</w:t>
      </w:r>
    </w:p>
    <w:p>
      <w:pPr>
        <w:shd w:fill="F0F4F8" w:val="clear"/>
        <w:spacing w:after="0" w:before="0"/>
        <w:ind w:left="360"/>
      </w:pPr>
      <w:r>
        <w:rPr>
          <w:rFonts w:ascii="Courier New" w:cs="Courier New" w:eastAsia="Courier New" w:hAnsi="Courier New"/>
          <w:color w:val="1F4E79"/>
          <w:sz w:val="18"/>
          <w:szCs w:val="18"/>
        </w:rPr>
        <w:t xml:space="preserve">z_score   = (spread - roll_mean) / roll_std</w:t>
      </w:r>
    </w:p>
    <w:p>
      <w:pPr>
        <w:spacing w:after="160"/>
      </w:pPr>
      <w:r>
        <w:t xml:space="preserve"/>
      </w:r>
    </w:p>
    <w:p>
      <w:pPr>
        <w:spacing w:after="160"/>
      </w:pPr>
      <w:r>
        <w:rPr>
          <w:sz w:val="24"/>
          <w:szCs w:val="24"/>
        </w:rPr>
        <w:t xml:space="preserve">The rolling window (default 60 days) is strictly backward-looking. Using the full-sample mean and std is one of the most common forms of look-ahead bias in pairs trading — the mean you'd observe </w:t>
      </w:r>
      <w:r>
        <w:rPr>
          <w:i/>
          <w:iCs/>
          <w:color w:val="595959"/>
          <w:sz w:val="24"/>
          <w:szCs w:val="24"/>
        </w:rPr>
        <w:t xml:space="preserve">today</w:t>
      </w:r>
      <w:r>
        <w:rPr>
          <w:sz w:val="24"/>
          <w:szCs w:val="24"/>
        </w:rPr>
        <w:t xml:space="preserve"> is influenced by prices that haven't happened yet in your backtest.</w:t>
      </w:r>
    </w:p>
    <w:p>
      <w:pPr>
        <w:spacing w:after="160"/>
      </w:pPr>
      <w:r>
        <w:t xml:space="preserve"/>
      </w:r>
    </w:p>
    <w:p>
      <w:pPr>
        <w:pStyle w:val="Heading2"/>
      </w:pPr>
      <w:r>
        <w:t xml:space="preserve">5.2 Entry, Exit, and Stop-Loss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Condition</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Action</w:t>
            </w:r>
          </w:p>
        </w:tc>
        <w:tc>
          <w:tcPr>
            <w:tcW w:type="dxa" w:w="4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Rationale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z &gt; +2.0</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Short spread (short Al, long stock)</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Spread unusually high — expect reversion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z &lt; −2.0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Long spread (long Al, short stock)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Spread unusually low — expect reversion</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|z| &lt; 0.5</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Exit / go flat</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Mean-reversion has occurred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|z| &gt; 3.5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Hard stop-loss — close immediately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Spread blowing out, regime break likely</w:t>
            </w:r>
          </w:p>
        </w:tc>
      </w:tr>
    </w:tbl>
    <w:p>
      <w:pPr>
        <w:spacing w:after="160"/>
      </w:pPr>
      <w:r>
        <w:t xml:space="preserve"/>
      </w:r>
    </w:p>
    <w:p>
      <w:pPr>
        <w:pBdr>
          <w:left w:val="single" w:color="378ADD" w:sz="6" w:space="10"/>
        </w:pBdr>
        <w:spacing w:after="80" w:before="80"/>
        <w:ind w:left="360"/>
      </w:pPr>
      <w:r>
        <w:rPr>
          <w:i/>
          <w:iCs/>
          <w:color w:val="0F4C75"/>
          <w:sz w:val="22"/>
          <w:szCs w:val="22"/>
        </w:rPr>
        <w:t xml:space="preserve">ℹ  The hold state (no signal change when 0.5 ≤ |z| ≤ 2.0) prevents excessive churning when the spread is between the entry and exit bands. Without it the strategy would trade in and out around the exit threshold repeatedly.</w:t>
      </w:r>
    </w:p>
    <w:p>
      <w:pPr>
        <w:spacing w:after="160"/>
      </w:pPr>
      <w:r>
        <w:t xml:space="preserve"/>
      </w:r>
    </w:p>
    <w:p>
      <w:r>
        <w:br w:type="page"/>
      </w:r>
    </w:p>
    <w:p>
      <w:pPr>
        <w:pStyle w:val="Heading1"/>
      </w:pPr>
      <w:r>
        <w:t xml:space="preserve">6. Backtesting and Risk Metrics</w:t>
      </w:r>
    </w:p>
    <w:p>
      <w:pPr>
        <w:pStyle w:val="Heading2"/>
      </w:pPr>
      <w:r>
        <w:t xml:space="preserve">6.1 Realistic Cost Model</w:t>
      </w:r>
    </w:p>
    <w:p>
      <w:pPr>
        <w:spacing w:after="160"/>
      </w:pPr>
      <w:r>
        <w:rPr>
          <w:sz w:val="24"/>
          <w:szCs w:val="24"/>
        </w:rPr>
        <w:t xml:space="preserve">The most important thing the backtest does differently from naive implementations is deduct costs on every position change. Many online stat-arb backtests show excellent gross returns that completely disappear once costs are applied.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Cost Component</w:t>
            </w:r>
          </w:p>
        </w:tc>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Default</w:t>
            </w:r>
          </w:p>
        </w:tc>
        <w:tc>
          <w:tcPr>
            <w:tcW w:type="dxa" w:w="5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Applies To</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Bid-ask spread</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4 bps per leg</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Both entry and exit, both legs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Commission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10 bps round-trip</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Retail assumption; ~2 bps institutional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Slippage (timing)</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15 bps</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Signal fires at close, fill at next open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Total per full trade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~29 bps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×2 for round-trip (enter + exit)</w:t>
            </w:r>
          </w:p>
        </w:tc>
      </w:tr>
    </w:tbl>
    <w:p>
      <w:pPr>
        <w:spacing w:after="160"/>
      </w:pPr>
      <w:r>
        <w:t xml:space="preserve"/>
      </w:r>
    </w:p>
    <w:p>
      <w:pPr>
        <w:pBdr>
          <w:left w:val="single" w:color="E24B4A" w:sz="6" w:space="10"/>
        </w:pBdr>
        <w:spacing w:after="80" w:before="80"/>
        <w:ind w:left="360"/>
      </w:pPr>
      <w:r>
        <w:rPr>
          <w:i/>
          <w:iCs/>
          <w:color w:val="7B2D00"/>
          <w:sz w:val="22"/>
          <w:szCs w:val="22"/>
        </w:rPr>
        <w:t xml:space="preserve">⚠  A strategy with average gross gain of 0.15% per trade will be marginal or unprofitable at ~30 bps all-in cost. The breakeven analysis prints automatically in the backtest summary.</w:t>
      </w:r>
    </w:p>
    <w:p>
      <w:pPr>
        <w:spacing w:after="160"/>
      </w:pPr>
      <w:r>
        <w:t xml:space="preserve"/>
      </w:r>
    </w:p>
    <w:p>
      <w:pPr>
        <w:pStyle w:val="Heading2"/>
      </w:pPr>
      <w:r>
        <w:t xml:space="preserve">6.2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Formula</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Threshold</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Net Sharpe ratio</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(mean(net_ret) / std(net_ret)) × √252</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&gt; 0.5 minimum; &gt; 1.0 good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Maximum drawdown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min((cum_equity − peak_equity) / peak_equity)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Halt strategy if &gt; −20%</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Half-life</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−ln(2) / λ from AR(1) on spread</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5–60 days for active trading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Cost drag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sum(costs) / initial_capital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Should be &lt; 33% of gross return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Win rate</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profitable_closes / total_closes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Typically 55–65% for mean-reversion</w:t>
            </w:r>
          </w:p>
        </w:tc>
      </w:tr>
    </w:tbl>
    <w:p>
      <w:pPr>
        <w:spacing w:after="160"/>
      </w:pPr>
      <w:r>
        <w:t xml:space="preserve"/>
      </w:r>
    </w:p>
    <w:p>
      <w:r>
        <w:br w:type="page"/>
      </w:r>
    </w:p>
    <w:p>
      <w:pPr>
        <w:pStyle w:val="Heading1"/>
      </w:pPr>
      <w:r>
        <w:t xml:space="preserve">7. Futures Roll Adjustment (ALI=F)</w:t>
      </w:r>
    </w:p>
    <w:p>
      <w:pPr>
        <w:spacing w:after="160"/>
      </w:pPr>
      <w:r>
        <w:rPr>
          <w:sz w:val="24"/>
          <w:szCs w:val="24"/>
        </w:rPr>
        <w:t xml:space="preserve">CME aluminum futures (ALI=F) expire quarterly (March, June, September, December) on the third Wednesday of the expiry month. Simply stitching contracts together at expiry creates artificial price gaps that look like extreme returns — corrupting the spread, z-score, and all statistical tests.</w:t>
      </w:r>
    </w:p>
    <w:p>
      <w:pPr>
        <w:spacing w:after="160"/>
      </w:pPr>
      <w:r>
        <w:t xml:space="preserve"/>
      </w:r>
    </w:p>
    <w:p>
      <w:pPr>
        <w:pStyle w:val="Heading2"/>
      </w:pPr>
      <w:r>
        <w:t xml:space="preserve">7.1 The Problem</w:t>
      </w:r>
    </w:p>
    <w:p>
      <w:pPr>
        <w:spacing w:after="160"/>
      </w:pPr>
      <w:r>
        <w:rPr>
          <w:sz w:val="24"/>
          <w:szCs w:val="24"/>
        </w:rPr>
        <w:t xml:space="preserve">If the September contract closes at 2,450 and the December contract opens at 2,390, naively concatenating them creates a −2.4% return that never happened. For a strategy whose edge is measured in basis points, this is catastrophic.</w:t>
      </w:r>
    </w:p>
    <w:p>
      <w:pPr>
        <w:spacing w:after="160"/>
      </w:pPr>
      <w:r>
        <w:t xml:space="preserve"/>
      </w:r>
    </w:p>
    <w:p>
      <w:pPr>
        <w:pStyle w:val="Heading2"/>
      </w:pPr>
      <w:r>
        <w:t xml:space="preserve">7.2 Backward Ratio Adjustment (Recommended)</w:t>
      </w:r>
    </w:p>
    <w:p>
      <w:pPr>
        <w:spacing w:after="160"/>
      </w:pPr>
      <w:r>
        <w:rPr>
          <w:sz w:val="24"/>
          <w:szCs w:val="24"/>
        </w:rPr>
        <w:t xml:space="preserve">Described in </w:t>
      </w:r>
      <w:r>
        <w:rPr>
          <w:i/>
          <w:iCs/>
          <w:color w:val="595959"/>
          <w:sz w:val="24"/>
          <w:szCs w:val="24"/>
        </w:rPr>
        <w:t xml:space="preserve">Advances in Financial Machine Learning</w:t>
      </w:r>
      <w:r>
        <w:rPr>
          <w:sz w:val="24"/>
          <w:szCs w:val="24"/>
        </w:rPr>
        <w:t xml:space="preserve"> (de Prado, 2018, p.36) and the Hudson &amp; Thames article. The method preserves percentage returns across roll dates by back-adjusting all historical prices multiplicatively.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Step</w:t>
            </w:r>
          </w:p>
        </w:tc>
        <w:tc>
          <w:tcPr>
            <w:tcW w:type="dxa" w:w="8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1. Identify roll date</w:t>
            </w:r>
          </w:p>
        </w:tc>
        <w:tc>
          <w:tcPr>
            <w:tcW w:type="dxa" w:w="8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Third Wednesday of expiry month minus roll_days_before business days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2. Compute gap ratio</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ratio = price_old_contract / price_new_contract at roll date</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3. Adjust history</w:t>
            </w:r>
          </w:p>
        </w:tc>
        <w:tc>
          <w:tcPr>
            <w:tcW w:type="dxa" w:w="8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adjusted[t] = raw[t] × cumulative_ratio  for all t before the roll date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4. Iterate backwards</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Walk from most recent to oldest roll date, accumulating the ratio</w:t>
            </w:r>
          </w:p>
        </w:tc>
      </w:tr>
    </w:tbl>
    <w:p>
      <w:pPr>
        <w:spacing w:after="160"/>
      </w:pPr>
      <w:r>
        <w:t xml:space="preserve"/>
      </w:r>
    </w:p>
    <w:p>
      <w:pPr>
        <w:spacing w:after="160"/>
      </w:pPr>
      <w:r>
        <w:rPr>
          <w:b/>
          <w:bCs/>
          <w:sz w:val="24"/>
          <w:szCs w:val="24"/>
        </w:rPr>
        <w:t xml:space="preserve">Key property:</w:t>
      </w:r>
      <w:r>
        <w:rPr>
          <w:sz w:val="24"/>
          <w:szCs w:val="24"/>
        </w:rPr>
        <w:t xml:space="preserve"> The most recent price is always the true raw price. Only historical prices are adjusted. This means position sizing and margin calculations always use unadjusted prices — only the return series used for the spread and z-score uses the adjusted prices.</w:t>
      </w:r>
    </w:p>
    <w:p>
      <w:pPr>
        <w:spacing w:after="160"/>
      </w:pPr>
      <w:r>
        <w:t xml:space="preserve"/>
      </w:r>
    </w:p>
    <w:p>
      <w:pPr>
        <w:pBdr>
          <w:left w:val="single" w:color="378ADD" w:sz="6" w:space="10"/>
        </w:pBdr>
        <w:spacing w:after="80" w:before="80"/>
        <w:ind w:left="360"/>
      </w:pPr>
      <w:r>
        <w:rPr>
          <w:i/>
          <w:iCs/>
          <w:color w:val="0F4C75"/>
          <w:sz w:val="22"/>
          <w:szCs w:val="22"/>
        </w:rPr>
        <w:t xml:space="preserve">ℹ  The absolute (Panama) method subtracts gaps instead of multiplying. It is simpler but introduces a trend bias and can produce negative prices for long historical series. Use the ratio method for this strategy.</w:t>
      </w:r>
    </w:p>
    <w:p>
      <w:pPr>
        <w:spacing w:after="160"/>
      </w:pPr>
      <w:r>
        <w:t xml:space="preserve"/>
      </w:r>
    </w:p>
    <w:p>
      <w:r>
        <w:br w:type="page"/>
      </w:r>
    </w:p>
    <w:p>
      <w:pPr>
        <w:pStyle w:val="Heading1"/>
      </w:pPr>
      <w:r>
        <w:t xml:space="preserve">8. Hypothesis Validation Framework</w:t>
      </w:r>
    </w:p>
    <w:p>
      <w:pPr>
        <w:spacing w:after="160"/>
      </w:pPr>
      <w:r>
        <w:rPr>
          <w:sz w:val="24"/>
          <w:szCs w:val="24"/>
        </w:rPr>
        <w:t xml:space="preserve">hypothesis_validator.py runs all three hypotheses in parallel for each stock/ETF pair. It produces a score out of 5 for each hypothesis and a recommended action.</w:t>
      </w:r>
    </w:p>
    <w:p>
      <w:pPr>
        <w:spacing w:after="160"/>
      </w:pPr>
      <w:r>
        <w:t xml:space="preserve"/>
      </w:r>
    </w:p>
    <w:p>
      <w:pPr>
        <w:pStyle w:val="Heading2"/>
      </w:pPr>
      <w:r>
        <w:t xml:space="preserve">8.1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Test</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Passes if</w:t>
            </w:r>
          </w:p>
        </w:tc>
        <w:tc>
          <w:tcPr>
            <w:tcW w:type="dxa" w:w="4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Why it matters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1. Directional correlation</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 &lt; 0.05, strength ≥ moderate, correct sign</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Confirms co-movement in expected direction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2. Granger causality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p &lt; 0.05 at best lag (1–5 days)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Aluminum leads construction — required for actionable signal</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3. Cointegration</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Both EG p &lt; 0.05 AND Johansen trace &gt; critical</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Long-run equilibrium exists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4. Spread quality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Half-life 5–60d AND Hurst &lt; 0.5 AND spread ADF p &lt; 0.05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Spread is mean-reverting and tradeable</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5. Regime stability</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&lt; 20% of rolling 126-day windows have ADF p &gt; 0.10</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Relationship is stable over time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Score</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Verdict</w:t>
            </w:r>
          </w:p>
        </w:tc>
        <w:tc>
          <w:tcPr>
            <w:tcW w:type="dxa" w:w="6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Recommended Action</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4–5 / 5</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Strong support</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Proceed to paper trading with standard risk parameters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3 /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Moderate support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Paper trade with tighter entry threshold (z &gt; 2.5) and smaller position size</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2 / 5</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Weak support</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Do not trade — revisit with different date range, instruments, or frequency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0–1 /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Not supported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Abandon this pair — the statistical foundation is absent</w:t>
            </w:r>
          </w:p>
        </w:tc>
      </w:tr>
    </w:tbl>
    <w:p>
      <w:pPr>
        <w:spacing w:after="160"/>
      </w:pPr>
      <w:r>
        <w:t xml:space="preserve"/>
      </w:r>
    </w:p>
    <w:p>
      <w:pPr>
        <w:pStyle w:val="Heading2"/>
      </w:pPr>
      <w:r>
        <w:t xml:space="preserve">8.2 Interpreting Each Plot</w:t>
      </w:r>
    </w:p>
    <w:p>
      <w:pPr>
        <w:spacing w:after="160"/>
      </w:pPr>
      <w:r>
        <w:rPr>
          <w:b/>
          <w:bCs/>
          <w:sz w:val="24"/>
          <w:szCs w:val="24"/>
        </w:rPr>
        <w:t xml:space="preserve">Scatter plot (col 1):</w:t>
      </w:r>
      <w:r>
        <w:rPr>
          <w:sz w:val="24"/>
          <w:szCs w:val="24"/>
        </w:rPr>
        <w:t xml:space="preserve"> OLS regression line in red (negative β) or green (positive β). The slope tells you the direction and magnitude of the relationship. Fat, dispersed cloud = low correlation. Tight cloud = high correlation. Note how outliers affect the slope.</w:t>
      </w:r>
    </w:p>
    <w:p>
      <w:pPr>
        <w:spacing w:after="160"/>
      </w:pPr>
      <w:r>
        <w:t xml:space="preserve"/>
      </w:r>
    </w:p>
    <w:p>
      <w:pPr>
        <w:spacing w:after="160"/>
      </w:pPr>
      <w:r>
        <w:rPr>
          <w:b/>
          <w:bCs/>
          <w:sz w:val="24"/>
          <w:szCs w:val="24"/>
        </w:rPr>
        <w:t xml:space="preserve">H1 inverse spread (col 2):</w:t>
      </w:r>
      <w:r>
        <w:rPr>
          <w:sz w:val="24"/>
          <w:szCs w:val="24"/>
        </w:rPr>
        <w:t xml:space="preserve"> The −Al − β×stock spread over time, with a 60-day rolling mean and ±2σ bands. A tradeable spread oscillates around zero, crosses the mean frequently, and doesn't trend. If it has a strong visible trend, the pair is not cointegrated.</w:t>
      </w:r>
    </w:p>
    <w:p>
      <w:pPr>
        <w:spacing w:after="160"/>
      </w:pPr>
      <w:r>
        <w:t xml:space="preserve"/>
      </w:r>
    </w:p>
    <w:p>
      <w:pPr>
        <w:spacing w:after="160"/>
      </w:pPr>
      <w:r>
        <w:rPr>
          <w:b/>
          <w:bCs/>
          <w:sz w:val="24"/>
          <w:szCs w:val="24"/>
        </w:rPr>
        <w:t xml:space="preserve">H2 ratio (col 3):</w:t>
      </w:r>
      <w:r>
        <w:rPr>
          <w:sz w:val="24"/>
          <w:szCs w:val="24"/>
        </w:rPr>
        <w:t xml:space="preserve"> The Al/stock price ratio. Watch for: (a) whether the ratio has a long-run level it returns to; (b) how long it spends outside the ±2σ bands; (c) whether post-2022 looks different from pre-2022 (regime break).</w:t>
      </w:r>
    </w:p>
    <w:p>
      <w:pPr>
        <w:spacing w:after="160"/>
      </w:pPr>
      <w:r>
        <w:t xml:space="preserve"/>
      </w:r>
    </w:p>
    <w:p>
      <w:pPr>
        <w:spacing w:after="160"/>
      </w:pPr>
      <w:r>
        <w:rPr>
          <w:b/>
          <w:bCs/>
          <w:sz w:val="24"/>
          <w:szCs w:val="24"/>
        </w:rPr>
        <w:t xml:space="preserve">Rolling ADF p-value (col 4):</w:t>
      </w:r>
      <w:r>
        <w:rPr>
          <w:sz w:val="24"/>
          <w:szCs w:val="24"/>
        </w:rPr>
        <w:t xml:space="preserve"> The p-value of a 126-day ADF test on the H1 spread, computed at each bar. Red fill above the 10% line shows periods where cointegration has broken down. The percentage shown in the title is the fraction of time spent broken. Periods of high p-value often correspond to known macro events: COVID (2020), energy crisis (2022), China construction slowdown (2023).</w:t>
      </w:r>
    </w:p>
    <w:p>
      <w:pPr>
        <w:spacing w:after="160"/>
      </w:pPr>
      <w:r>
        <w:t xml:space="preserve"/>
      </w:r>
    </w:p>
    <w:p>
      <w:r>
        <w:br w:type="page"/>
      </w:r>
    </w:p>
    <w:p>
      <w:pPr>
        <w:pStyle w:val="Heading1"/>
      </w:pPr>
      <w:r>
        <w:t xml:space="preserve">9. Why All Three Hypotheses Failed — Diagnosis</w:t>
      </w:r>
    </w:p>
    <w:p>
      <w:pPr>
        <w:spacing w:after="160"/>
      </w:pPr>
      <w:r>
        <w:rPr>
          <w:sz w:val="24"/>
          <w:szCs w:val="24"/>
        </w:rPr>
        <w:t xml:space="preserve">All three hypotheses scoring below the threshold is informative, not merely a negative result. Each failure mode points to a specific structural issue with the pair.</w:t>
      </w:r>
    </w:p>
    <w:p>
      <w:pPr>
        <w:spacing w:after="160"/>
      </w:pPr>
      <w:r>
        <w:t xml:space="preserve"/>
      </w:r>
    </w:p>
    <w:p>
      <w:pPr>
        <w:pStyle w:val="Heading2"/>
      </w:pPr>
      <w:r>
        <w:t xml:space="preserve">9.1 The Fundamental Mismatch: Aluminum vs. Construction Equities</w:t>
      </w:r>
    </w:p>
    <w:p>
      <w:pPr>
        <w:spacing w:after="160"/>
      </w:pPr>
      <w:r>
        <w:rPr>
          <w:sz w:val="24"/>
          <w:szCs w:val="24"/>
        </w:rPr>
        <w:t xml:space="preserve">The economic story is about input costs and margins. But equity prices don't respond only to input costs — they respond to earnings expectations, interest rates, housing starts, mortgage rates, credit conditions, and broad market sentiment. Aluminum is one input among many, and it competes for explanatory power with far louder signals.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Signal competing with aluminum</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Magnitude (rough)</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Federal Reserve rate decisions</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5–15% stock move</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8× per year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Housing starts / permits data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2–8% homebuilder move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Monthly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30-year mortgage rate changes</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3–10% homebuilder sensitivity</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Weekly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Broad equity market (beta ≈ 1.2)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Tracks S&amp;P 500</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Daily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Aluminum price change</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0.1–0.5% stock sensitivity</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Daily</w:t>
            </w:r>
          </w:p>
        </w:tc>
      </w:tr>
    </w:tbl>
    <w:p>
      <w:pPr>
        <w:spacing w:after="160"/>
      </w:pPr>
      <w:r>
        <w:t xml:space="preserve"/>
      </w:r>
    </w:p>
    <w:p>
      <w:pPr>
        <w:spacing w:after="160"/>
      </w:pPr>
      <w:r>
        <w:rPr>
          <w:sz w:val="24"/>
          <w:szCs w:val="24"/>
        </w:rPr>
        <w:t xml:space="preserve">Aluminum is a small fraction of total construction cost (roughly 3–7% of material cost for a typical residential build). At that weight, it would take a 30–40% aluminum price move to noticeably compress margins — and by then, macro conditions have usually changed enough to swamp the signal.</w:t>
      </w:r>
    </w:p>
    <w:p>
      <w:pPr>
        <w:spacing w:after="160"/>
      </w:pPr>
      <w:r>
        <w:t xml:space="preserve"/>
      </w:r>
    </w:p>
    <w:p>
      <w:pPr>
        <w:pStyle w:val="Heading2"/>
      </w:pPr>
      <w:r>
        <w:t xml:space="preserve">9.2 Why the Ratio Hypothesis (H2) Likely Also Failed</w:t>
      </w:r>
    </w:p>
    <w:p>
      <w:pPr>
        <w:spacing w:after="160"/>
      </w:pPr>
      <w:r>
        <w:rPr>
          <w:sz w:val="24"/>
          <w:szCs w:val="24"/>
        </w:rPr>
        <w:t xml:space="preserve">The ratio </w:t>
      </w:r>
      <w:r>
        <w:rPr>
          <w:rFonts w:ascii="Courier New" w:cs="Courier New" w:eastAsia="Courier New" w:hAnsi="Courier New"/>
          <w:color w:val="1F4E79"/>
          <w:sz w:val="20"/>
          <w:szCs w:val="20"/>
        </w:rPr>
        <w:t xml:space="preserve">Al / stock</w:t>
      </w:r>
      <w:r>
        <w:rPr>
          <w:sz w:val="24"/>
          <w:szCs w:val="24"/>
        </w:rPr>
        <w:t xml:space="preserve"> contains unit-root behaviour on both sides. When aluminum prices spike (tariffs, sanctions, energy costs) and stock prices fall simultaneously during a risk-off event, the ratio spikes sharply. But the reversion is slow and regime-dependent — it requires either aluminum to ease OR builders to raise prices OR mortgage rates to fall. These are macro-driven events, not statistical mean-reversion events on a 60-day horizon.</w:t>
      </w:r>
    </w:p>
    <w:p>
      <w:pPr>
        <w:spacing w:after="160"/>
      </w:pPr>
      <w:r>
        <w:t xml:space="preserve"/>
      </w:r>
    </w:p>
    <w:p>
      <w:pPr>
        <w:pStyle w:val="Heading2"/>
      </w:pPr>
      <w:r>
        <w:t xml:space="preserve">9.3 Why Granger Causality Likely Failed</w:t>
      </w:r>
    </w:p>
    <w:p>
      <w:pPr>
        <w:spacing w:after="160"/>
      </w:pPr>
      <w:r>
        <w:rPr>
          <w:sz w:val="24"/>
          <w:szCs w:val="24"/>
        </w:rPr>
        <w:t xml:space="preserve">Granger causality at daily frequency requires aluminum to move first, then the stock to follow within 1–5 business days. In practice, both series respond almost simultaneously to the same macro driver (e.g., a China PMI release that affects both commodity demand and equity risk appetite). The lead-lag structure doesn't exist cleanly at daily frequency — you might find it at monthly frequency with a 1–3 month lag.</w:t>
      </w:r>
    </w:p>
    <w:p>
      <w:pPr>
        <w:spacing w:after="160"/>
      </w:pPr>
      <w:r>
        <w:t xml:space="preserve"/>
      </w:r>
    </w:p>
    <w:p>
      <w:pPr>
        <w:pStyle w:val="Heading2"/>
      </w:pPr>
      <w:r>
        <w:t xml:space="preserve">9.4 Why Regime Stability Failed</w:t>
      </w:r>
    </w:p>
    <w:p>
      <w:pPr>
        <w:spacing w:after="160"/>
      </w:pPr>
      <w:r>
        <w:rPr>
          <w:sz w:val="24"/>
          <w:szCs w:val="24"/>
        </w:rPr>
        <w:t xml:space="preserve">The rolling ADF test almost certainly showed large windows of non-stationarity around 2020 (COVID demand destruction), 2022 (energy crisis + Fed tightening cycle), and potentially 2023 (China property crisis reducing aluminum demand). These regimes are not noise — they represent genuine structural changes in the cost-pass-through mechanism.</w:t>
      </w:r>
    </w:p>
    <w:p>
      <w:pPr>
        <w:spacing w:after="160"/>
      </w:pPr>
      <w:r>
        <w:t xml:space="preserve"/>
      </w:r>
    </w:p>
    <w:p>
      <w:r>
        <w:br w:type="page"/>
      </w:r>
    </w:p>
    <w:p>
      <w:pPr>
        <w:pStyle w:val="Heading1"/>
      </w:pPr>
      <w:r>
        <w:t xml:space="preserve">10. What to Try Next</w:t>
      </w:r>
    </w:p>
    <w:p>
      <w:pPr>
        <w:spacing w:after="160"/>
      </w:pPr>
      <w:r>
        <w:rPr>
          <w:sz w:val="24"/>
          <w:szCs w:val="24"/>
        </w:rPr>
        <w:t xml:space="preserve">The hypothesis tests are diagnostic. Their failure tells you specifically what to change. Here are six directions ordered by expected payoff.</w:t>
      </w:r>
    </w:p>
    <w:p>
      <w:pPr>
        <w:spacing w:after="160"/>
      </w:pPr>
      <w:r>
        <w:t xml:space="preserve"/>
      </w:r>
    </w:p>
    <w:p>
      <w:pPr>
        <w:pStyle w:val="Heading2"/>
      </w:pPr>
      <w:r>
        <w:t xml:space="preserve">10.1 Switch to Monthly Frequency</w:t>
      </w:r>
    </w:p>
    <w:p>
      <w:pPr>
        <w:spacing w:after="160"/>
      </w:pPr>
      <w:r>
        <w:rPr>
          <w:sz w:val="24"/>
          <w:szCs w:val="24"/>
        </w:rPr>
        <w:t xml:space="preserve">The economic mechanism (cost squeeze → margin compression → analyst downgrades → stock underperformance) takes months to play out, not days. At monthly frequency you have 120 observations over 10 years — sufficient for cointegration tests — and the noise-to-signal ratio improves dramatically.</w:t>
      </w:r>
    </w:p>
    <w:p>
      <w:pPr>
        <w:spacing w:after="160"/>
      </w:pPr>
      <w:r>
        <w:t xml:space="preserve"/>
      </w:r>
    </w:p>
    <w:p>
      <w:pPr>
        <w:spacing w:after="160"/>
      </w:pPr>
      <w:r>
        <w:rPr>
          <w:b/>
          <w:bCs/>
          <w:sz w:val="24"/>
          <w:szCs w:val="24"/>
        </w:rPr>
        <w:t xml:space="preserve">Implementation:</w:t>
      </w:r>
      <w:r>
        <w:rPr>
          <w:sz w:val="24"/>
          <w:szCs w:val="24"/>
        </w:rPr>
        <w:t xml:space="preserve"> Resample prices to month-end, recompute all tests. Expect half-life to increase to 2–6 months — that's fine for a monthly-rebalanced strategy.</w:t>
      </w:r>
    </w:p>
    <w:p>
      <w:pPr>
        <w:spacing w:after="160"/>
      </w:pPr>
      <w:r>
        <w:t xml:space="preserve"/>
      </w:r>
    </w:p>
    <w:p>
      <w:pPr>
        <w:pStyle w:val="Heading2"/>
      </w:pPr>
      <w:r>
        <w:t xml:space="preserve">10.2 Use FRED Aluminum PPI Instead of Equity Prices</w:t>
      </w:r>
    </w:p>
    <w:p>
      <w:pPr>
        <w:spacing w:after="160"/>
      </w:pPr>
      <w:r>
        <w:rPr>
          <w:sz w:val="24"/>
          <w:szCs w:val="24"/>
        </w:rPr>
        <w:t xml:space="preserve">The US Bureau of Labor Statistics Producer Price Index for aluminum (FRED series </w:t>
      </w:r>
      <w:r>
        <w:rPr>
          <w:rFonts w:ascii="Courier New" w:cs="Courier New" w:eastAsia="Courier New" w:hAnsi="Courier New"/>
          <w:color w:val="1F4E79"/>
          <w:sz w:val="20"/>
          <w:szCs w:val="20"/>
        </w:rPr>
        <w:t xml:space="preserve">WPU10270301</w:t>
      </w:r>
      <w:r>
        <w:rPr>
          <w:sz w:val="24"/>
          <w:szCs w:val="24"/>
        </w:rPr>
        <w:t xml:space="preserve">) is a more direct measure of construction input costs than a futures price distorted by financial speculation, contango, and roll. Pair it with the NAHB Housing Market Index or housing starts data (both on FRED) for the construction side.</w:t>
      </w:r>
    </w:p>
    <w:p>
      <w:pPr>
        <w:spacing w:after="160"/>
      </w:pPr>
      <w:r>
        <w:t xml:space="preserve"/>
      </w:r>
    </w:p>
    <w:p>
      <w:pPr>
        <w:pStyle w:val="Heading2"/>
      </w:pPr>
      <w:r>
        <w:t xml:space="preserve">10.3 Test Against Margin Data Directly</w:t>
      </w:r>
    </w:p>
    <w:p>
      <w:pPr>
        <w:spacing w:after="160"/>
      </w:pPr>
      <w:r>
        <w:rPr>
          <w:sz w:val="24"/>
          <w:szCs w:val="24"/>
        </w:rPr>
        <w:t xml:space="preserve">Instead of pairing with stock prices, pair aluminum price levels against homebuilder gross margin (reported quarterly). The hypothesis becomes: when aluminum is expensive relative to historical norms, gross margins fall in the following quarter. This is a fundamental / earnings-based signal, not a pure price signal.</w:t>
      </w:r>
    </w:p>
    <w:p>
      <w:pPr>
        <w:spacing w:after="160"/>
      </w:pPr>
      <w:r>
        <w:t xml:space="preserve"/>
      </w:r>
    </w:p>
    <w:p>
      <w:pPr>
        <w:pStyle w:val="Heading2"/>
      </w:pPr>
      <w:r>
        <w:t xml:space="preserve">10.4 Conditional Strategy: Only Trade During Cost Shocks</w:t>
      </w:r>
    </w:p>
    <w:p>
      <w:pPr>
        <w:spacing w:after="160"/>
      </w:pPr>
      <w:r>
        <w:rPr>
          <w:sz w:val="24"/>
          <w:szCs w:val="24"/>
        </w:rPr>
        <w:t xml:space="preserve">The relationship may only be statistically present during high-aluminum-price regimes. Add a regime filter: only activate the strategy when aluminum is trading above its 200-day moving average. When aluminum is cheap, the cost-squeeze mechanism is dormant and there's no edge.</w:t>
      </w:r>
    </w:p>
    <w:p>
      <w:pPr>
        <w:spacing w:after="160"/>
      </w:pPr>
      <w:r>
        <w:t xml:space="preserve"/>
      </w:r>
    </w:p>
    <w:p>
      <w:pPr>
        <w:shd w:fill="F0F4F8" w:val="clear"/>
        <w:spacing w:after="0" w:before="0"/>
        <w:ind w:left="360"/>
      </w:pPr>
      <w:r>
        <w:rPr>
          <w:rFonts w:ascii="Courier New" w:cs="Courier New" w:eastAsia="Courier New" w:hAnsi="Courier New"/>
          <w:color w:val="1F4E79"/>
          <w:sz w:val="18"/>
          <w:szCs w:val="18"/>
        </w:rPr>
        <w:t xml:space="preserve">al_200d_ma = prices['aluminum'].rolling(200).mean()</w:t>
      </w:r>
    </w:p>
    <w:p>
      <w:pPr>
        <w:shd w:fill="F0F4F8" w:val="clear"/>
        <w:spacing w:after="0" w:before="0"/>
        <w:ind w:left="360"/>
      </w:pPr>
      <w:r>
        <w:rPr>
          <w:rFonts w:ascii="Courier New" w:cs="Courier New" w:eastAsia="Courier New" w:hAnsi="Courier New"/>
          <w:color w:val="1F4E79"/>
          <w:sz w:val="18"/>
          <w:szCs w:val="18"/>
        </w:rPr>
        <w:t xml:space="preserve">regime_active = prices['aluminum'] &gt; al_200d_ma</w:t>
      </w:r>
    </w:p>
    <w:p>
      <w:pPr>
        <w:shd w:fill="F0F4F8" w:val="clear"/>
        <w:spacing w:after="0" w:before="0"/>
        <w:ind w:left="360"/>
      </w:pPr>
      <w:r>
        <w:rPr>
          <w:rFonts w:ascii="Courier New" w:cs="Courier New" w:eastAsia="Courier New" w:hAnsi="Courier New"/>
          <w:color w:val="1F4E79"/>
          <w:sz w:val="18"/>
          <w:szCs w:val="18"/>
        </w:rPr>
        <w:t xml:space="preserve">signal = raw_signal * regime_active.shift(1)  # lag 1 to avoid look-ahead</w:t>
      </w:r>
    </w:p>
    <w:p>
      <w:pPr>
        <w:spacing w:after="160"/>
      </w:pPr>
      <w:r>
        <w:t xml:space="preserve"/>
      </w:r>
    </w:p>
    <w:p>
      <w:pPr>
        <w:pStyle w:val="Heading2"/>
      </w:pPr>
      <w:r>
        <w:t xml:space="preserve">10.5 Better Construction Proxy: Gross Margin ETF</w:t>
      </w:r>
    </w:p>
    <w:p>
      <w:pPr>
        <w:spacing w:after="160"/>
      </w:pPr>
      <w:r>
        <w:rPr>
          <w:sz w:val="24"/>
          <w:szCs w:val="24"/>
        </w:rPr>
        <w:t xml:space="preserve">PKB, XHB, and ITB all include companies with diverse business models. A purer construction cost-margin play would focus on </w:t>
      </w:r>
      <w:r>
        <w:rPr>
          <w:b/>
          <w:bCs/>
          <w:sz w:val="24"/>
          <w:szCs w:val="24"/>
        </w:rPr>
        <w:t xml:space="preserve">specialty contractors and materials companies</w:t>
      </w:r>
      <w:r>
        <w:rPr>
          <w:sz w:val="24"/>
          <w:szCs w:val="24"/>
        </w:rPr>
        <w:t xml:space="preserve"> (VMC, MLM, USLM) that have direct aluminum cost exposure and limited pricing power. Consider testing each holding of PKB individually and ranking by aluminum cost sensitivity.</w:t>
      </w:r>
    </w:p>
    <w:p>
      <w:pPr>
        <w:spacing w:after="160"/>
      </w:pPr>
      <w:r>
        <w:t xml:space="preserve"/>
      </w:r>
    </w:p>
    <w:p>
      <w:pPr>
        <w:pStyle w:val="Heading2"/>
      </w:pPr>
      <w:r>
        <w:t xml:space="preserve">10.6 Entirely Different Pair: Copper / Homebuilders</w:t>
      </w:r>
    </w:p>
    <w:p>
      <w:pPr>
        <w:spacing w:after="160"/>
      </w:pPr>
      <w:r>
        <w:rPr>
          <w:sz w:val="24"/>
          <w:szCs w:val="24"/>
        </w:rPr>
        <w:t xml:space="preserve">Copper is a significantly larger cost component in construction (wiring, plumbing) than aluminum, and it has better documented co-movement with housing activity. The London Metal Exchange copper price (available as HG=F on yfinance) and ITB or XHB is a more established pairs trade with a cleaner economic mechanism. It might be worth validating this as a parallel track.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Alternative Pair</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Ticker</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Economic Logic</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Expected β Sign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Copper / Homebuilders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HG=F vs ITB</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Copper is ~8% of construction cost</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Negative (cost) or positive (demand)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Lumber / Homebuilders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LBS=F vs XHB</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Lumber is largest single construction cost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Strongly negative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Natural Gas / REITs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NG=F vs VNQ</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Energy cost vs property operating income</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Negative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Steel / Industrials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LD=F vs XLI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Steel is input to machinery and infrastructure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Mixed</w:t>
            </w:r>
          </w:p>
        </w:tc>
      </w:tr>
    </w:tbl>
    <w:p>
      <w:pPr>
        <w:spacing w:after="160"/>
      </w:pPr>
      <w:r>
        <w:t xml:space="preserve"/>
      </w:r>
    </w:p>
    <w:p>
      <w:r>
        <w:br w:type="page"/>
      </w:r>
    </w:p>
    <w:p>
      <w:pPr>
        <w:pStyle w:val="Heading1"/>
      </w:pPr>
      <w:r>
        <w:t xml:space="preserve">11. Key Limitations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Limitation</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Severity</w:t>
            </w:r>
          </w:p>
        </w:tc>
        <w:tc>
          <w:tcPr>
            <w:tcW w:type="dxa" w:w="42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Status</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Aluminum is too small an input cost to drive equity prices at daily frequency</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Critical</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Fundamental — switch to monthly or different pair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Beta drift — hedge ratio changes over time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Mitigated by rolling OLS window</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Regime breaks in 2020, 2022, 2023</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High</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Partial — rolling ADF kill-switch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Transaction costs erode the spread edge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Mitigated — modelled explicitly</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Look-ahead bias in normalisation statistics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High</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Mitigated — all rolling windows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ALI=F futures roll gaps on yfinance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Mitigated — backward ratio adjustment</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Non-normality of returns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Medium</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Mitigated — Spearman gate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Survivorship bias (ETF composition changes)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Not mitigated</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PKB/XHB include non-construction names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Medium</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Not mitigated — use pure-play alternatives</w:t>
            </w:r>
          </w:p>
        </w:tc>
      </w:tr>
    </w:tbl>
    <w:p>
      <w:pPr>
        <w:spacing w:after="160"/>
      </w:pPr>
      <w:r>
        <w:t xml:space="preserve"/>
      </w:r>
    </w:p>
    <w:p>
      <w:r>
        <w:br w:type="page"/>
      </w:r>
    </w:p>
    <w:p>
      <w:pPr>
        <w:pStyle w:val="Heading1"/>
      </w:pPr>
      <w:r>
        <w:t xml:space="preserve">12. Quick Reference</w:t>
      </w:r>
    </w:p>
    <w:p>
      <w:pPr>
        <w:pStyle w:val="Heading2"/>
      </w:pPr>
      <w:r>
        <w:t xml:space="preserve">12.1 Run Order</w:t>
      </w:r>
    </w:p>
    <w:p>
      <w:pPr>
        <w:pStyle w:val="ListParagraph"/>
        <w:numPr>
          <w:ilvl w:val="0"/>
          <w:numId w:val="2"/>
        </w:numPr>
        <w:spacing w:after="80"/>
      </w:pPr>
      <w:r>
        <w:rPr>
          <w:sz w:val="24"/>
          <w:szCs w:val="24"/>
        </w:rPr>
        <w:t xml:space="preserve">python hypothesis_validator.py --al AA --stocks XHB ITB PKB</w:t>
      </w:r>
    </w:p>
    <w:p>
      <w:pPr>
        <w:pStyle w:val="ListParagraph"/>
        <w:numPr>
          <w:ilvl w:val="0"/>
          <w:numId w:val="2"/>
        </w:numPr>
        <w:spacing w:after="80"/>
      </w:pPr>
      <w:r>
        <w:rPr>
          <w:sz w:val="24"/>
          <w:szCs w:val="24"/>
        </w:rPr>
        <w:t xml:space="preserve">python aluminum_statarb.py</w:t>
      </w:r>
    </w:p>
    <w:p>
      <w:pPr>
        <w:pStyle w:val="ListParagraph"/>
        <w:numPr>
          <w:ilvl w:val="0"/>
          <w:numId w:val="2"/>
        </w:numPr>
        <w:spacing w:after="80"/>
      </w:pPr>
      <w:r>
        <w:rPr>
          <w:sz w:val="24"/>
          <w:szCs w:val="24"/>
        </w:rPr>
        <w:t xml:space="preserve">python paper_trader.py --al ALI=F --stocks XHB ITB PKB --days 180</w:t>
      </w:r>
    </w:p>
    <w:p>
      <w:pPr>
        <w:spacing w:after="160"/>
      </w:pPr>
      <w:r>
        <w:t xml:space="preserve"/>
      </w:r>
    </w:p>
    <w:p>
      <w:pPr>
        <w:pStyle w:val="Heading2"/>
      </w:pPr>
      <w:r>
        <w:t xml:space="preserve">12.2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Default</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Effect of increasing</w:t>
            </w:r>
          </w:p>
        </w:tc>
        <w:tc>
          <w:tcPr>
            <w:tcW w:type="dxa" w:w="3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Effect of decreasing</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entry_z</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2.0</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Fewer trades, higher avg gain, lower frequency</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More trades, lower avg gain, higher costs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z_window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60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Slower signal, less responsive to regime change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Noisier signal, more false positives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beta_window</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252 days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More stable hedge ratio, slower to adapt</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Faster adaptation, noisier beta</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stop_loss_z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3.5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Larger stop — more patient, more risk</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Tighter stop — protects capital, more whipsaws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roll_days_before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5 days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Roll earlier — more liquid, less basis risk</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Roll later — track expiring contract longer</w:t>
            </w:r>
          </w:p>
        </w:tc>
      </w:tr>
    </w:tbl>
    <w:p>
      <w:pPr>
        <w:spacing w:after="160"/>
      </w:pPr>
      <w:r>
        <w:t xml:space="preserve"/>
      </w:r>
    </w:p>
    <w:p>
      <w:pPr>
        <w:pStyle w:val="Heading2"/>
      </w:pPr>
      <w:r>
        <w:t xml:space="preserve">12.3 Dependencies</w:t>
      </w:r>
    </w:p>
    <w:p>
      <w:pPr>
        <w:shd w:fill="F0F4F8" w:val="clear"/>
        <w:spacing w:after="120"/>
        <w:ind w:left="360"/>
      </w:pPr>
      <w:r>
        <w:rPr>
          <w:rFonts w:ascii="Courier New" w:cs="Courier New" w:eastAsia="Courier New" w:hAnsi="Courier New"/>
          <w:color w:val="1F4E79"/>
          <w:sz w:val="20"/>
          <w:szCs w:val="20"/>
        </w:rPr>
        <w:t xml:space="preserve">pip install yfinance pandas numpy scipy statsmodels scikit-learn matplotlib</w:t>
      </w:r>
    </w:p>
    <w:p>
      <w:pPr>
        <w:spacing w:after="160"/>
      </w:pPr>
      <w:r>
        <w:t xml:space="preserve"/>
      </w:r>
    </w:p>
    <w:p>
      <w:pPr>
        <w:pStyle w:val="Heading2"/>
      </w:pPr>
      <w:r>
        <w:t xml:space="preserve">12.4 Interpretation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If you see this…</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It means…</w:t>
            </w:r>
          </w:p>
        </w:tc>
        <w:tc>
          <w:tcPr>
            <w:tcW w:type="dxa" w:w="3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Do this</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ADF p &gt; 0.05 on spread</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Spread is non-stationary — cointegration has broken down</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Halt trading; wait for regime to stabilise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Rolling beta changes &gt; 20% in 60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Structural break in the pair relationship</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Re-estimate with shorter window or pause</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Net Sharpe &lt; 0.5</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Costs are eating the edge</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Widen entry_z or reduce trade frequency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Half-life &gt; 60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Spread reverts too slowly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Capital locked up too long — try a different pair</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Hurst &gt; 0.5</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Spread is trending, not mean-reverting</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2"/>
                <w:szCs w:val="22"/>
              </w:rPr>
              <w:t xml:space="preserve">Do not trade — opposite strategy needed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Win rate &lt; 45%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More losing trades than expected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2"/>
                <w:szCs w:val="22"/>
              </w:rPr>
              <w:t xml:space="preserve">Entry threshold too tight — widen entry_z</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color w:val="888888"/>
        <w:sz w:val="18"/>
        <w:szCs w:val="18"/>
      </w:rPr>
      <w:t xml:space="preserve">Aluminum / Construction Stat-Arb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2026-04-21T20:51:30.703Z</dcterms:created>
  <dcterms:modified xsi:type="dcterms:W3CDTF">2026-04-21T20:51:30.703Z</dcterms:modified>
</cp:coreProperties>
</file>

<file path=docProps/custom.xml><?xml version="1.0" encoding="utf-8"?>
<Properties xmlns="http://schemas.openxmlformats.org/officeDocument/2006/custom-properties" xmlns:vt="http://schemas.openxmlformats.org/officeDocument/2006/docPropsVTypes"/>
</file>