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FC683" w14:textId="4C156D43" w:rsidR="00202681" w:rsidRPr="002C0F0C" w:rsidRDefault="002C0F0C" w:rsidP="00457EC3">
      <w:pPr>
        <w:tabs>
          <w:tab w:val="center" w:pos="8604"/>
        </w:tabs>
        <w:spacing w:after="1858" w:line="265" w:lineRule="auto"/>
        <w:ind w:left="-15" w:firstLine="0"/>
        <w:rPr>
          <w:rFonts w:asciiTheme="minorHAnsi" w:hAnsiTheme="minorHAnsi" w:cstheme="minorHAnsi"/>
          <w:sz w:val="24"/>
          <w:szCs w:val="24"/>
        </w:rPr>
      </w:pPr>
      <w:r w:rsidRPr="002C0F0C">
        <w:rPr>
          <w:color w:val="000000"/>
          <w:sz w:val="24"/>
          <w:szCs w:val="24"/>
        </w:rPr>
        <w:tab/>
      </w:r>
      <w:r w:rsidR="00457EC3" w:rsidRPr="002C0F0C">
        <w:rPr>
          <w:color w:val="000000"/>
          <w:sz w:val="24"/>
          <w:szCs w:val="24"/>
        </w:rPr>
        <w:t xml:space="preserve">                                                                                                        </w:t>
      </w:r>
      <w:r w:rsidRPr="002C0F0C">
        <w:rPr>
          <w:rFonts w:asciiTheme="minorHAnsi" w:hAnsiTheme="minorHAnsi" w:cstheme="minorHAnsi"/>
          <w:color w:val="000000"/>
          <w:sz w:val="24"/>
          <w:szCs w:val="24"/>
        </w:rPr>
        <w:t>Guia Societário - ALTERAÇÃO DO OBJETO SOCIAL</w:t>
      </w:r>
    </w:p>
    <w:p w14:paraId="01DF632D" w14:textId="6D0D8010" w:rsidR="00202681" w:rsidRPr="002C0F0C" w:rsidRDefault="002C0F0C" w:rsidP="00457EC3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2C0F0C">
        <w:rPr>
          <w:rFonts w:asciiTheme="minorHAnsi" w:hAnsiTheme="minorHAnsi" w:cstheme="minorHAnsi"/>
          <w:sz w:val="28"/>
          <w:szCs w:val="28"/>
        </w:rPr>
        <w:t>ALTERAÇÃO DO OBJETO SOCIAL</w:t>
      </w:r>
    </w:p>
    <w:p w14:paraId="0FC4B0D9" w14:textId="77777777" w:rsidR="00457EC3" w:rsidRPr="002C0F0C" w:rsidRDefault="00457EC3" w:rsidP="00457EC3">
      <w:pPr>
        <w:rPr>
          <w:rFonts w:asciiTheme="minorHAnsi" w:hAnsiTheme="minorHAnsi" w:cstheme="minorHAnsi"/>
          <w:sz w:val="24"/>
          <w:szCs w:val="24"/>
        </w:rPr>
      </w:pPr>
    </w:p>
    <w:p w14:paraId="4FA9CB3E" w14:textId="1E0A8967" w:rsidR="00202681" w:rsidRPr="002C0F0C" w:rsidRDefault="002C0F0C" w:rsidP="00457EC3">
      <w:pPr>
        <w:spacing w:after="33"/>
        <w:rPr>
          <w:rFonts w:asciiTheme="minorHAnsi" w:hAnsiTheme="minorHAnsi" w:cstheme="minorHAnsi"/>
          <w:sz w:val="24"/>
          <w:szCs w:val="24"/>
        </w:rPr>
      </w:pPr>
      <w:r w:rsidRPr="002C0F0C">
        <w:rPr>
          <w:rFonts w:asciiTheme="minorHAnsi" w:hAnsiTheme="minorHAnsi" w:cstheme="minorHAnsi"/>
          <w:sz w:val="24"/>
          <w:szCs w:val="24"/>
        </w:rPr>
        <w:t>A alteração do objeto social deverá ser realizada com a alteração do ato constitutivo da EIRELI, devendo constar</w:t>
      </w:r>
      <w:r w:rsidR="00457EC3" w:rsidRPr="002C0F0C">
        <w:rPr>
          <w:rFonts w:asciiTheme="minorHAnsi" w:hAnsiTheme="minorHAnsi" w:cstheme="minorHAnsi"/>
          <w:sz w:val="24"/>
          <w:szCs w:val="24"/>
        </w:rPr>
        <w:t xml:space="preserve"> </w:t>
      </w:r>
      <w:r w:rsidRPr="002C0F0C">
        <w:rPr>
          <w:rFonts w:asciiTheme="minorHAnsi" w:hAnsiTheme="minorHAnsi" w:cstheme="minorHAnsi"/>
          <w:sz w:val="24"/>
          <w:szCs w:val="24"/>
        </w:rPr>
        <w:t xml:space="preserve">na alteração do ato constitutivo o novo objeto, em sua </w:t>
      </w:r>
      <w:r w:rsidRPr="002C0F0C">
        <w:rPr>
          <w:rFonts w:asciiTheme="minorHAnsi" w:hAnsiTheme="minorHAnsi" w:cstheme="minorHAnsi"/>
          <w:sz w:val="24"/>
          <w:szCs w:val="24"/>
        </w:rPr>
        <w:t>totalidade, e não somente as partes alteradas. (</w:t>
      </w:r>
      <w:r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Instru</w:t>
      </w:r>
      <w:r w:rsidRPr="002C0F0C">
        <w:rPr>
          <w:rFonts w:asciiTheme="minorHAnsi" w:hAnsiTheme="minorHAnsi" w:cstheme="minorHAnsi"/>
          <w:color w:val="007BFF"/>
          <w:sz w:val="24"/>
          <w:szCs w:val="24"/>
        </w:rPr>
        <w:t>ç</w:t>
      </w:r>
      <w:r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ão</w:t>
      </w:r>
      <w:r w:rsidR="00457EC3"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 xml:space="preserve"> </w:t>
      </w:r>
      <w:r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Normativa DREI n° 038/2017</w:t>
      </w:r>
      <w:r w:rsidRPr="002C0F0C">
        <w:rPr>
          <w:rFonts w:asciiTheme="minorHAnsi" w:hAnsiTheme="minorHAnsi" w:cstheme="minorHAnsi"/>
          <w:sz w:val="24"/>
          <w:szCs w:val="24"/>
        </w:rPr>
        <w:t>,</w:t>
      </w:r>
      <w:r w:rsidRPr="002C0F0C">
        <w:rPr>
          <w:rFonts w:asciiTheme="minorHAnsi" w:hAnsiTheme="minorHAnsi" w:cstheme="minorHAnsi"/>
          <w:sz w:val="24"/>
          <w:szCs w:val="24"/>
        </w:rPr>
        <w:t xml:space="preserve"> </w:t>
      </w:r>
      <w:r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anexo V</w:t>
      </w:r>
      <w:r w:rsidRPr="002C0F0C">
        <w:rPr>
          <w:rFonts w:asciiTheme="minorHAnsi" w:hAnsiTheme="minorHAnsi" w:cstheme="minorHAnsi"/>
          <w:sz w:val="24"/>
          <w:szCs w:val="24"/>
        </w:rPr>
        <w:t>, item 3.2.9)</w:t>
      </w:r>
      <w:r w:rsidRPr="002C0F0C">
        <w:rPr>
          <w:rFonts w:asciiTheme="minorHAnsi" w:hAnsiTheme="minorHAnsi" w:cstheme="minorHAnsi"/>
          <w:sz w:val="24"/>
          <w:szCs w:val="24"/>
        </w:rPr>
        <w:tab/>
      </w:r>
    </w:p>
    <w:p w14:paraId="40753B9C" w14:textId="77777777" w:rsidR="00457EC3" w:rsidRPr="002C0F0C" w:rsidRDefault="002C0F0C">
      <w:pPr>
        <w:tabs>
          <w:tab w:val="center" w:pos="4489"/>
          <w:tab w:val="center" w:pos="14035"/>
        </w:tabs>
        <w:spacing w:after="0" w:line="259" w:lineRule="auto"/>
        <w:ind w:left="0" w:firstLine="0"/>
        <w:jc w:val="left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2C0F0C">
        <w:rPr>
          <w:rFonts w:asciiTheme="minorHAnsi" w:eastAsia="Calibri" w:hAnsiTheme="minorHAnsi" w:cstheme="minorHAnsi"/>
          <w:color w:val="000000"/>
          <w:sz w:val="24"/>
          <w:szCs w:val="24"/>
        </w:rPr>
        <w:tab/>
      </w:r>
    </w:p>
    <w:p w14:paraId="3FE6F306" w14:textId="56CE3933" w:rsidR="00202681" w:rsidRPr="002C0F0C" w:rsidRDefault="002C0F0C">
      <w:pPr>
        <w:tabs>
          <w:tab w:val="center" w:pos="4489"/>
          <w:tab w:val="center" w:pos="14035"/>
        </w:tabs>
        <w:spacing w:after="0" w:line="259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2C0F0C">
        <w:rPr>
          <w:rFonts w:asciiTheme="minorHAnsi" w:hAnsiTheme="minorHAnsi" w:cstheme="minorHAnsi"/>
          <w:b/>
          <w:color w:val="264170"/>
          <w:sz w:val="24"/>
          <w:szCs w:val="24"/>
        </w:rPr>
        <w:t>Exemplo de Cláusula:</w:t>
      </w:r>
      <w:r w:rsidRPr="002C0F0C">
        <w:rPr>
          <w:rFonts w:asciiTheme="minorHAnsi" w:hAnsiTheme="minorHAnsi" w:cstheme="minorHAnsi"/>
          <w:b/>
          <w:color w:val="264170"/>
          <w:sz w:val="24"/>
          <w:szCs w:val="24"/>
        </w:rPr>
        <w:tab/>
      </w:r>
    </w:p>
    <w:p w14:paraId="1A05FD6E" w14:textId="69A74138" w:rsidR="00202681" w:rsidRPr="002C0F0C" w:rsidRDefault="00202681" w:rsidP="00457EC3">
      <w:pPr>
        <w:spacing w:after="7" w:line="259" w:lineRule="auto"/>
        <w:ind w:left="84" w:right="824" w:firstLine="0"/>
        <w:jc w:val="center"/>
        <w:rPr>
          <w:rFonts w:asciiTheme="minorHAnsi" w:hAnsiTheme="minorHAnsi" w:cstheme="minorHAnsi"/>
          <w:sz w:val="24"/>
          <w:szCs w:val="24"/>
        </w:rPr>
      </w:pPr>
    </w:p>
    <w:p w14:paraId="72D82D0A" w14:textId="77777777" w:rsidR="00202681" w:rsidRPr="002C0F0C" w:rsidRDefault="002C0F0C" w:rsidP="00457EC3">
      <w:pPr>
        <w:spacing w:after="29" w:line="259" w:lineRule="auto"/>
        <w:ind w:left="84" w:firstLine="58"/>
        <w:jc w:val="left"/>
        <w:rPr>
          <w:rFonts w:asciiTheme="minorHAnsi" w:hAnsiTheme="minorHAnsi" w:cstheme="minorHAnsi"/>
          <w:sz w:val="24"/>
          <w:szCs w:val="24"/>
        </w:rPr>
      </w:pPr>
      <w:r w:rsidRPr="002C0F0C">
        <w:rPr>
          <w:rFonts w:asciiTheme="minorHAnsi" w:hAnsiTheme="minorHAnsi" w:cstheme="minorHAnsi"/>
          <w:sz w:val="24"/>
          <w:szCs w:val="24"/>
        </w:rPr>
        <w:t>“</w:t>
      </w:r>
      <w:r w:rsidRPr="002C0F0C">
        <w:rPr>
          <w:rFonts w:asciiTheme="minorHAnsi" w:hAnsiTheme="minorHAnsi" w:cstheme="minorHAnsi"/>
          <w:b/>
          <w:sz w:val="24"/>
          <w:szCs w:val="24"/>
        </w:rPr>
        <w:t>CLÁUSULA XXXXXXX - DA ALTERAÇÃO DO OBJETO SOCIAL DA EIRELI:</w:t>
      </w:r>
      <w:r w:rsidRPr="002C0F0C">
        <w:rPr>
          <w:rFonts w:asciiTheme="minorHAnsi" w:hAnsiTheme="minorHAnsi" w:cstheme="minorHAnsi"/>
          <w:sz w:val="24"/>
          <w:szCs w:val="24"/>
        </w:rPr>
        <w:t xml:space="preserve"> A EIRELI que tem por objeto</w:t>
      </w:r>
    </w:p>
    <w:p w14:paraId="6A44CECB" w14:textId="352306B4" w:rsidR="00202681" w:rsidRPr="002C0F0C" w:rsidRDefault="002C0F0C" w:rsidP="00457EC3">
      <w:pPr>
        <w:spacing w:after="8"/>
        <w:ind w:right="1337"/>
        <w:rPr>
          <w:rFonts w:asciiTheme="minorHAnsi" w:hAnsiTheme="minorHAnsi" w:cstheme="minorHAnsi"/>
          <w:sz w:val="24"/>
          <w:szCs w:val="24"/>
        </w:rPr>
      </w:pPr>
      <w:r w:rsidRPr="002C0F0C">
        <w:rPr>
          <w:rFonts w:asciiTheme="minorHAnsi" w:hAnsiTheme="minorHAnsi" w:cstheme="minorHAnsi"/>
          <w:sz w:val="24"/>
          <w:szCs w:val="24"/>
        </w:rPr>
        <w:t xml:space="preserve">social a exploração do ramo de: (EXEMPLO) Comércio a varejo de automóveis, camionetas e utilitários novos, </w:t>
      </w:r>
      <w:r w:rsidRPr="002C0F0C">
        <w:rPr>
          <w:rFonts w:asciiTheme="minorHAnsi" w:eastAsia="Calibri" w:hAnsiTheme="minorHAnsi" w:cstheme="minorHAnsi"/>
          <w:color w:val="805E34"/>
          <w:sz w:val="24"/>
          <w:szCs w:val="24"/>
        </w:rPr>
        <w:t xml:space="preserve">19/02/2020 </w:t>
      </w:r>
      <w:r w:rsidRPr="002C0F0C">
        <w:rPr>
          <w:rFonts w:asciiTheme="minorHAnsi" w:hAnsiTheme="minorHAnsi" w:cstheme="minorHAnsi"/>
          <w:sz w:val="24"/>
          <w:szCs w:val="24"/>
        </w:rPr>
        <w:t>passa a partir desta data a ter o seguinte objeto: COMÉRCIO A VAREJO DE AUTOMÓVEIS, CAMIONETAS E UTILITÁRIOS NOVOS E USADOS.”</w:t>
      </w:r>
    </w:p>
    <w:p w14:paraId="6CBE2CD1" w14:textId="40391604" w:rsidR="00202681" w:rsidRPr="002C0F0C" w:rsidRDefault="00202681" w:rsidP="00457EC3">
      <w:pPr>
        <w:pStyle w:val="Ttulo2"/>
        <w:jc w:val="center"/>
        <w:rPr>
          <w:rFonts w:asciiTheme="minorHAnsi" w:hAnsiTheme="minorHAnsi" w:cstheme="minorHAnsi"/>
          <w:sz w:val="24"/>
          <w:szCs w:val="24"/>
        </w:rPr>
      </w:pPr>
    </w:p>
    <w:p w14:paraId="56CA3D6B" w14:textId="26A887AD" w:rsidR="00202681" w:rsidRPr="002C0F0C" w:rsidRDefault="002C0F0C" w:rsidP="00457EC3">
      <w:pPr>
        <w:rPr>
          <w:rFonts w:asciiTheme="minorHAnsi" w:hAnsiTheme="minorHAnsi" w:cstheme="minorHAnsi"/>
          <w:sz w:val="24"/>
          <w:szCs w:val="24"/>
        </w:rPr>
      </w:pPr>
      <w:r w:rsidRPr="002C0F0C">
        <w:rPr>
          <w:rFonts w:asciiTheme="minorHAnsi" w:hAnsiTheme="minorHAnsi" w:cstheme="minorHAnsi"/>
          <w:sz w:val="24"/>
          <w:szCs w:val="24"/>
        </w:rPr>
        <w:t xml:space="preserve">Para fins de registro dos atos de alteração da EIRELI, serão exigidos os seguintes documentos, de acordo com a </w:t>
      </w:r>
      <w:r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Lei n° 8.934/1994</w:t>
      </w:r>
      <w:r w:rsidRPr="002C0F0C">
        <w:rPr>
          <w:rFonts w:asciiTheme="minorHAnsi" w:hAnsiTheme="minorHAnsi" w:cstheme="minorHAnsi"/>
          <w:sz w:val="24"/>
          <w:szCs w:val="24"/>
        </w:rPr>
        <w:t>,</w:t>
      </w:r>
      <w:r w:rsidRPr="002C0F0C">
        <w:rPr>
          <w:rFonts w:asciiTheme="minorHAnsi" w:hAnsiTheme="minorHAnsi" w:cstheme="minorHAnsi"/>
          <w:sz w:val="24"/>
          <w:szCs w:val="24"/>
        </w:rPr>
        <w:t xml:space="preserve"> </w:t>
      </w:r>
      <w:r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arti</w:t>
      </w:r>
      <w:r w:rsidRPr="002C0F0C">
        <w:rPr>
          <w:rFonts w:asciiTheme="minorHAnsi" w:hAnsiTheme="minorHAnsi" w:cstheme="minorHAnsi"/>
          <w:color w:val="007BFF"/>
          <w:sz w:val="24"/>
          <w:szCs w:val="24"/>
        </w:rPr>
        <w:t>g</w:t>
      </w:r>
      <w:r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o 37</w:t>
      </w:r>
      <w:r w:rsidRPr="002C0F0C">
        <w:rPr>
          <w:rFonts w:asciiTheme="minorHAnsi" w:hAnsiTheme="minorHAnsi" w:cstheme="minorHAnsi"/>
          <w:sz w:val="24"/>
          <w:szCs w:val="24"/>
        </w:rPr>
        <w:t>:</w:t>
      </w:r>
    </w:p>
    <w:p w14:paraId="27A31680" w14:textId="56628709" w:rsidR="00202681" w:rsidRPr="002C0F0C" w:rsidRDefault="00457EC3" w:rsidP="00457EC3">
      <w:pPr>
        <w:pStyle w:val="PargrafodaLista"/>
        <w:numPr>
          <w:ilvl w:val="0"/>
          <w:numId w:val="1"/>
        </w:numPr>
        <w:ind w:left="1985" w:firstLine="0"/>
        <w:rPr>
          <w:rFonts w:asciiTheme="minorHAnsi" w:hAnsiTheme="minorHAnsi" w:cstheme="minorHAnsi"/>
          <w:sz w:val="24"/>
          <w:szCs w:val="24"/>
        </w:rPr>
      </w:pPr>
      <w:r w:rsidRPr="002C0F0C">
        <w:rPr>
          <w:rFonts w:asciiTheme="minorHAnsi" w:hAnsiTheme="minorHAnsi" w:cstheme="minorHAnsi"/>
          <w:sz w:val="24"/>
          <w:szCs w:val="24"/>
        </w:rPr>
        <w:t xml:space="preserve"> </w:t>
      </w:r>
      <w:r w:rsidR="002C0F0C" w:rsidRPr="002C0F0C">
        <w:rPr>
          <w:rFonts w:asciiTheme="minorHAnsi" w:hAnsiTheme="minorHAnsi" w:cstheme="minorHAnsi"/>
          <w:sz w:val="24"/>
          <w:szCs w:val="24"/>
        </w:rPr>
        <w:t>Requerimento assinado por administrador, titular, procurador, com poderes gerais ou específicos, ou por terceiro</w:t>
      </w:r>
      <w:r w:rsidRPr="002C0F0C">
        <w:rPr>
          <w:rFonts w:asciiTheme="minorHAnsi" w:hAnsiTheme="minorHAnsi" w:cstheme="minorHAnsi"/>
          <w:sz w:val="24"/>
          <w:szCs w:val="24"/>
        </w:rPr>
        <w:t xml:space="preserve"> </w:t>
      </w:r>
      <w:r w:rsidR="002C0F0C" w:rsidRPr="002C0F0C">
        <w:rPr>
          <w:rFonts w:asciiTheme="minorHAnsi" w:hAnsiTheme="minorHAnsi" w:cstheme="minorHAnsi"/>
          <w:sz w:val="24"/>
          <w:szCs w:val="24"/>
        </w:rPr>
        <w:t>interessado devidamente identificado com nome completo, identidade e CPF (</w:t>
      </w:r>
      <w:r w:rsidR="002C0F0C"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Códi</w:t>
      </w:r>
      <w:r w:rsidR="002C0F0C" w:rsidRPr="002C0F0C">
        <w:rPr>
          <w:rFonts w:asciiTheme="minorHAnsi" w:hAnsiTheme="minorHAnsi" w:cstheme="minorHAnsi"/>
          <w:color w:val="007BFF"/>
          <w:sz w:val="24"/>
          <w:szCs w:val="24"/>
        </w:rPr>
        <w:t>g</w:t>
      </w:r>
      <w:r w:rsidR="002C0F0C"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o Civil</w:t>
      </w:r>
      <w:r w:rsidR="002C0F0C" w:rsidRPr="002C0F0C">
        <w:rPr>
          <w:rFonts w:asciiTheme="minorHAnsi" w:hAnsiTheme="minorHAnsi" w:cstheme="minorHAnsi"/>
          <w:sz w:val="24"/>
          <w:szCs w:val="24"/>
        </w:rPr>
        <w:t>,</w:t>
      </w:r>
      <w:r w:rsidR="002C0F0C" w:rsidRPr="002C0F0C">
        <w:rPr>
          <w:rFonts w:asciiTheme="minorHAnsi" w:hAnsiTheme="minorHAnsi" w:cstheme="minorHAnsi"/>
          <w:sz w:val="24"/>
          <w:szCs w:val="24"/>
        </w:rPr>
        <w:t xml:space="preserve"> </w:t>
      </w:r>
      <w:r w:rsidR="002C0F0C"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arti</w:t>
      </w:r>
      <w:r w:rsidR="002C0F0C" w:rsidRPr="002C0F0C">
        <w:rPr>
          <w:rFonts w:asciiTheme="minorHAnsi" w:hAnsiTheme="minorHAnsi" w:cstheme="minorHAnsi"/>
          <w:color w:val="007BFF"/>
          <w:sz w:val="24"/>
          <w:szCs w:val="24"/>
        </w:rPr>
        <w:t>g</w:t>
      </w:r>
      <w:r w:rsidR="002C0F0C"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o 1.151</w:t>
      </w:r>
      <w:r w:rsidR="002C0F0C" w:rsidRPr="002C0F0C">
        <w:rPr>
          <w:rFonts w:asciiTheme="minorHAnsi" w:hAnsiTheme="minorHAnsi" w:cstheme="minorHAnsi"/>
          <w:sz w:val="24"/>
          <w:szCs w:val="24"/>
        </w:rPr>
        <w:t>)</w:t>
      </w:r>
    </w:p>
    <w:p w14:paraId="523C3B4A" w14:textId="77777777" w:rsidR="00457EC3" w:rsidRPr="002C0F0C" w:rsidRDefault="00457EC3" w:rsidP="00457EC3">
      <w:pPr>
        <w:pStyle w:val="PargrafodaLista"/>
        <w:ind w:left="2183" w:firstLine="0"/>
        <w:rPr>
          <w:rFonts w:asciiTheme="minorHAnsi" w:hAnsiTheme="minorHAnsi" w:cstheme="minorHAnsi"/>
          <w:sz w:val="24"/>
          <w:szCs w:val="24"/>
        </w:rPr>
      </w:pPr>
    </w:p>
    <w:p w14:paraId="36A3042B" w14:textId="448B868B" w:rsidR="00202681" w:rsidRPr="002C0F0C" w:rsidRDefault="00457EC3" w:rsidP="00457EC3">
      <w:pPr>
        <w:pStyle w:val="PargrafodaLista"/>
        <w:numPr>
          <w:ilvl w:val="0"/>
          <w:numId w:val="1"/>
        </w:numPr>
        <w:ind w:left="1985"/>
        <w:rPr>
          <w:rFonts w:asciiTheme="minorHAnsi" w:hAnsiTheme="minorHAnsi" w:cstheme="minorHAnsi"/>
          <w:sz w:val="24"/>
          <w:szCs w:val="24"/>
        </w:rPr>
      </w:pPr>
      <w:r w:rsidRPr="002C0F0C">
        <w:rPr>
          <w:rFonts w:asciiTheme="minorHAnsi" w:hAnsiTheme="minorHAnsi" w:cstheme="minorHAnsi"/>
          <w:sz w:val="24"/>
          <w:szCs w:val="24"/>
        </w:rPr>
        <w:t xml:space="preserve"> </w:t>
      </w:r>
      <w:r w:rsidR="002C0F0C" w:rsidRPr="002C0F0C">
        <w:rPr>
          <w:rFonts w:asciiTheme="minorHAnsi" w:hAnsiTheme="minorHAnsi" w:cstheme="minorHAnsi"/>
          <w:sz w:val="24"/>
          <w:szCs w:val="24"/>
        </w:rPr>
        <w:t>Alteração do ato constitutivo, quando revestir a forma particul</w:t>
      </w:r>
      <w:r w:rsidR="002C0F0C" w:rsidRPr="002C0F0C">
        <w:rPr>
          <w:rFonts w:asciiTheme="minorHAnsi" w:hAnsiTheme="minorHAnsi" w:cstheme="minorHAnsi"/>
          <w:sz w:val="24"/>
          <w:szCs w:val="24"/>
        </w:rPr>
        <w:t>ar ou certidão de inteiro teor da alteração do ato</w:t>
      </w:r>
      <w:r w:rsidRPr="002C0F0C">
        <w:rPr>
          <w:rFonts w:asciiTheme="minorHAnsi" w:hAnsiTheme="minorHAnsi" w:cstheme="minorHAnsi"/>
          <w:sz w:val="24"/>
          <w:szCs w:val="24"/>
        </w:rPr>
        <w:t xml:space="preserve"> </w:t>
      </w:r>
      <w:r w:rsidR="002C0F0C" w:rsidRPr="002C0F0C">
        <w:rPr>
          <w:rFonts w:asciiTheme="minorHAnsi" w:hAnsiTheme="minorHAnsi" w:cstheme="minorHAnsi"/>
          <w:sz w:val="24"/>
          <w:szCs w:val="24"/>
        </w:rPr>
        <w:t>constitutivo, quando revestir a forma pública.</w:t>
      </w:r>
    </w:p>
    <w:p w14:paraId="26E3AD08" w14:textId="3B0D6004" w:rsidR="00202681" w:rsidRPr="002C0F0C" w:rsidRDefault="002C0F0C" w:rsidP="00457EC3">
      <w:pPr>
        <w:ind w:left="1989"/>
        <w:rPr>
          <w:rFonts w:asciiTheme="minorHAnsi" w:hAnsiTheme="minorHAnsi" w:cstheme="minorHAnsi"/>
          <w:sz w:val="24"/>
          <w:szCs w:val="24"/>
        </w:rPr>
      </w:pPr>
      <w:r w:rsidRPr="002C0F0C">
        <w:rPr>
          <w:rFonts w:asciiTheme="minorHAnsi" w:hAnsiTheme="minorHAnsi" w:cstheme="minorHAnsi"/>
          <w:sz w:val="24"/>
          <w:szCs w:val="24"/>
        </w:rPr>
        <w:t xml:space="preserve">b1) Caso a Junta Comercial esteja utilizando o sistema da via única de arquivamento, seguir as orientações contidas na </w:t>
      </w:r>
      <w:r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Instru</w:t>
      </w:r>
      <w:r w:rsidRPr="002C0F0C">
        <w:rPr>
          <w:rFonts w:asciiTheme="minorHAnsi" w:hAnsiTheme="minorHAnsi" w:cstheme="minorHAnsi"/>
          <w:color w:val="007BFF"/>
          <w:sz w:val="24"/>
          <w:szCs w:val="24"/>
        </w:rPr>
        <w:t>ç</w:t>
      </w:r>
      <w:r w:rsidRPr="002C0F0C">
        <w:rPr>
          <w:rFonts w:asciiTheme="minorHAnsi" w:hAnsiTheme="minorHAnsi" w:cstheme="minorHAnsi"/>
          <w:color w:val="007BFF"/>
          <w:sz w:val="24"/>
          <w:szCs w:val="24"/>
          <w:u w:val="single" w:color="007BFF"/>
        </w:rPr>
        <w:t>ão Normativa DREI n° 03/2013</w:t>
      </w:r>
      <w:r w:rsidRPr="002C0F0C">
        <w:rPr>
          <w:rFonts w:asciiTheme="minorHAnsi" w:hAnsiTheme="minorHAnsi" w:cstheme="minorHAnsi"/>
          <w:sz w:val="24"/>
          <w:szCs w:val="24"/>
        </w:rPr>
        <w:t>.</w:t>
      </w:r>
    </w:p>
    <w:p w14:paraId="0771C35B" w14:textId="47403BAD" w:rsidR="00202681" w:rsidRPr="002C0F0C" w:rsidRDefault="002C0F0C" w:rsidP="00457EC3">
      <w:pPr>
        <w:ind w:left="1989"/>
        <w:rPr>
          <w:rFonts w:asciiTheme="minorHAnsi" w:hAnsiTheme="minorHAnsi" w:cstheme="minorHAnsi"/>
          <w:sz w:val="24"/>
          <w:szCs w:val="24"/>
        </w:rPr>
      </w:pPr>
      <w:r w:rsidRPr="002C0F0C">
        <w:rPr>
          <w:rFonts w:asciiTheme="minorHAnsi" w:hAnsiTheme="minorHAnsi" w:cstheme="minorHAnsi"/>
          <w:sz w:val="24"/>
          <w:szCs w:val="24"/>
        </w:rPr>
        <w:t>b</w:t>
      </w:r>
      <w:r w:rsidRPr="002C0F0C">
        <w:rPr>
          <w:rFonts w:asciiTheme="minorHAnsi" w:hAnsiTheme="minorHAnsi" w:cstheme="minorHAnsi"/>
          <w:sz w:val="24"/>
          <w:szCs w:val="24"/>
        </w:rPr>
        <w:t>2) Fica mantido o sistema convencional de autenticação de documentos até a adequação da Junta Comercial que não estiver apta a utilizar a via única.</w:t>
      </w:r>
    </w:p>
    <w:p w14:paraId="063E44FA" w14:textId="77777777" w:rsidR="00457EC3" w:rsidRPr="002C0F0C" w:rsidRDefault="00457EC3" w:rsidP="00457EC3">
      <w:pPr>
        <w:pStyle w:val="SemEspaamento"/>
        <w:rPr>
          <w:sz w:val="24"/>
          <w:szCs w:val="24"/>
        </w:rPr>
      </w:pPr>
    </w:p>
    <w:p w14:paraId="32603D6C" w14:textId="6F23BB34" w:rsidR="00202681" w:rsidRPr="002C0F0C" w:rsidRDefault="002C0F0C" w:rsidP="00457EC3">
      <w:pPr>
        <w:numPr>
          <w:ilvl w:val="0"/>
          <w:numId w:val="1"/>
        </w:numPr>
        <w:ind w:left="2182" w:hanging="203"/>
        <w:rPr>
          <w:rFonts w:asciiTheme="minorHAnsi" w:hAnsiTheme="minorHAnsi" w:cstheme="minorHAnsi"/>
          <w:sz w:val="24"/>
          <w:szCs w:val="24"/>
        </w:rPr>
      </w:pPr>
      <w:r w:rsidRPr="002C0F0C">
        <w:rPr>
          <w:rFonts w:asciiTheme="minorHAnsi" w:hAnsiTheme="minorHAnsi" w:cstheme="minorHAnsi"/>
          <w:sz w:val="24"/>
          <w:szCs w:val="24"/>
        </w:rPr>
        <w:t>Original ou cópia autenticada de procuração, com poderes específicos e se por instrumento particular, com f</w:t>
      </w:r>
      <w:r w:rsidRPr="002C0F0C">
        <w:rPr>
          <w:rFonts w:asciiTheme="minorHAnsi" w:hAnsiTheme="minorHAnsi" w:cstheme="minorHAnsi"/>
          <w:sz w:val="24"/>
          <w:szCs w:val="24"/>
        </w:rPr>
        <w:t>irma</w:t>
      </w:r>
      <w:r w:rsidR="00457EC3" w:rsidRPr="002C0F0C">
        <w:rPr>
          <w:rFonts w:asciiTheme="minorHAnsi" w:hAnsiTheme="minorHAnsi" w:cstheme="minorHAnsi"/>
          <w:sz w:val="24"/>
          <w:szCs w:val="24"/>
        </w:rPr>
        <w:t xml:space="preserve"> </w:t>
      </w:r>
      <w:r w:rsidRPr="002C0F0C">
        <w:rPr>
          <w:rFonts w:asciiTheme="minorHAnsi" w:hAnsiTheme="minorHAnsi" w:cstheme="minorHAnsi"/>
          <w:sz w:val="24"/>
          <w:szCs w:val="24"/>
        </w:rPr>
        <w:t>reconhecida, quando o requerimento, a alteração do ato constitutivo ou a declaração de que trata o caso a seguir (ingresso de administrador) for assinada por procurador. Se o outorgante for analfabeto, a procuração deverá ser passada por instrumento pú</w:t>
      </w:r>
      <w:r w:rsidRPr="002C0F0C">
        <w:rPr>
          <w:rFonts w:asciiTheme="minorHAnsi" w:hAnsiTheme="minorHAnsi" w:cstheme="minorHAnsi"/>
          <w:sz w:val="24"/>
          <w:szCs w:val="24"/>
        </w:rPr>
        <w:t>blico.</w:t>
      </w:r>
    </w:p>
    <w:p w14:paraId="31211707" w14:textId="77777777" w:rsidR="00202681" w:rsidRPr="00457EC3" w:rsidRDefault="002C0F0C" w:rsidP="00457EC3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11" w:color="000000"/>
        </w:pBdr>
        <w:spacing w:after="174" w:line="313" w:lineRule="auto"/>
        <w:ind w:left="1989" w:right="425"/>
        <w:rPr>
          <w:rFonts w:asciiTheme="minorHAnsi" w:hAnsiTheme="minorHAnsi" w:cstheme="minorHAnsi"/>
          <w:sz w:val="24"/>
          <w:szCs w:val="24"/>
        </w:rPr>
      </w:pPr>
      <w:r w:rsidRPr="00457EC3">
        <w:rPr>
          <w:rFonts w:asciiTheme="minorHAnsi" w:hAnsiTheme="minorHAnsi" w:cstheme="minorHAnsi"/>
          <w:sz w:val="24"/>
          <w:szCs w:val="24"/>
        </w:rPr>
        <w:t>As procurações poderão, a critério do interessado, apenas instruir o requerimento ou ser arquivadas em processo separado. Nesta última hipótese, com pagamento do preço do serviço devido.</w:t>
      </w:r>
    </w:p>
    <w:p w14:paraId="5D7D2342" w14:textId="77777777" w:rsidR="00202681" w:rsidRDefault="002C0F0C">
      <w:pPr>
        <w:spacing w:after="28" w:line="259" w:lineRule="auto"/>
        <w:ind w:left="84" w:firstLine="0"/>
        <w:jc w:val="left"/>
      </w:pPr>
      <w:r>
        <w:rPr>
          <w:b/>
          <w:color w:val="264170"/>
        </w:rPr>
        <w:t xml:space="preserve"> </w:t>
      </w:r>
    </w:p>
    <w:p w14:paraId="24BE9244" w14:textId="77777777" w:rsidR="00202681" w:rsidRPr="002C0F0C" w:rsidRDefault="002C0F0C">
      <w:pPr>
        <w:numPr>
          <w:ilvl w:val="0"/>
          <w:numId w:val="1"/>
        </w:numPr>
        <w:spacing w:after="222"/>
        <w:ind w:left="2182" w:right="3905" w:hanging="203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>Quando houver nomeação de administrador:</w:t>
      </w:r>
    </w:p>
    <w:p w14:paraId="3DFDF4C6" w14:textId="77777777" w:rsidR="00202681" w:rsidRPr="002C0F0C" w:rsidRDefault="002C0F0C">
      <w:pPr>
        <w:spacing w:after="235"/>
        <w:ind w:left="1989" w:right="3905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>d1) Cópia autentica</w:t>
      </w:r>
      <w:r w:rsidRPr="002C0F0C">
        <w:rPr>
          <w:rFonts w:ascii="Calibri" w:hAnsi="Calibri" w:cs="Calibri"/>
          <w:sz w:val="24"/>
          <w:szCs w:val="24"/>
        </w:rPr>
        <w:t>da da identidade do administrador.</w:t>
      </w:r>
    </w:p>
    <w:p w14:paraId="52A42100" w14:textId="5BDA916C" w:rsidR="00202681" w:rsidRPr="002C0F0C" w:rsidRDefault="002C0F0C" w:rsidP="00457EC3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after="174" w:line="313" w:lineRule="auto"/>
        <w:ind w:left="1989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 xml:space="preserve">Documentos admitidos: Os previstos no </w:t>
      </w:r>
      <w:r w:rsidRPr="002C0F0C">
        <w:rPr>
          <w:rFonts w:ascii="Calibri" w:hAnsi="Calibri" w:cs="Calibri"/>
          <w:color w:val="007BFF"/>
          <w:sz w:val="24"/>
          <w:szCs w:val="24"/>
          <w:u w:val="single" w:color="007BFF"/>
        </w:rPr>
        <w:t>arti</w:t>
      </w:r>
      <w:r w:rsidRPr="002C0F0C">
        <w:rPr>
          <w:rFonts w:ascii="Calibri" w:hAnsi="Calibri" w:cs="Calibri"/>
          <w:color w:val="007BFF"/>
          <w:sz w:val="24"/>
          <w:szCs w:val="24"/>
        </w:rPr>
        <w:t>g</w:t>
      </w:r>
      <w:r w:rsidRPr="002C0F0C">
        <w:rPr>
          <w:rFonts w:ascii="Calibri" w:hAnsi="Calibri" w:cs="Calibri"/>
          <w:color w:val="007BFF"/>
          <w:sz w:val="24"/>
          <w:szCs w:val="24"/>
          <w:u w:val="single" w:color="007BFF"/>
        </w:rPr>
        <w:t>o 2°</w:t>
      </w:r>
      <w:r w:rsidRPr="002C0F0C">
        <w:rPr>
          <w:rFonts w:ascii="Calibri" w:hAnsi="Calibri" w:cs="Calibri"/>
          <w:sz w:val="24"/>
          <w:szCs w:val="24"/>
        </w:rPr>
        <w:t xml:space="preserve"> da </w:t>
      </w:r>
      <w:r w:rsidRPr="002C0F0C">
        <w:rPr>
          <w:rFonts w:ascii="Calibri" w:hAnsi="Calibri" w:cs="Calibri"/>
          <w:color w:val="007BFF"/>
          <w:sz w:val="24"/>
          <w:szCs w:val="24"/>
          <w:u w:val="single" w:color="007BFF"/>
        </w:rPr>
        <w:t>Lei 12.037/2009</w:t>
      </w:r>
      <w:r w:rsidRPr="002C0F0C">
        <w:rPr>
          <w:rFonts w:ascii="Calibri" w:hAnsi="Calibri" w:cs="Calibri"/>
          <w:sz w:val="24"/>
          <w:szCs w:val="24"/>
        </w:rPr>
        <w:t>.</w:t>
      </w:r>
    </w:p>
    <w:p w14:paraId="7D92EB5E" w14:textId="77777777" w:rsidR="00202681" w:rsidRPr="002C0F0C" w:rsidRDefault="002C0F0C" w:rsidP="00457EC3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after="174" w:line="313" w:lineRule="auto"/>
        <w:ind w:left="1989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>Caso a cópia não seja autenticada por cartório, a autenticação poderá ser efetuada pelo servidor, no ato da apresentação da documentação, à vista do documento original.</w:t>
      </w:r>
    </w:p>
    <w:p w14:paraId="085C6459" w14:textId="77777777" w:rsidR="00202681" w:rsidRPr="002C0F0C" w:rsidRDefault="002C0F0C" w:rsidP="00457EC3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after="174" w:line="313" w:lineRule="auto"/>
        <w:ind w:left="1989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>Se a pessoa for estrangeira, é exigida identidade c</w:t>
      </w:r>
      <w:r w:rsidRPr="002C0F0C">
        <w:rPr>
          <w:rFonts w:ascii="Calibri" w:hAnsi="Calibri" w:cs="Calibri"/>
          <w:sz w:val="24"/>
          <w:szCs w:val="24"/>
        </w:rPr>
        <w:t>om a prova de visto permanente e dentro do período de sua validade ou documento fornecido pelo Departamento de Polícia Federal, com a indicação do número do registro.</w:t>
      </w:r>
    </w:p>
    <w:p w14:paraId="5B824CB9" w14:textId="77777777" w:rsidR="00202681" w:rsidRPr="002C0F0C" w:rsidRDefault="002C0F0C" w:rsidP="00457EC3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after="174" w:line="313" w:lineRule="auto"/>
        <w:ind w:left="1989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>A revalidação da identidade é dispensada para estrangeiros portadores de visto permanente</w:t>
      </w:r>
      <w:r w:rsidRPr="002C0F0C">
        <w:rPr>
          <w:rFonts w:ascii="Calibri" w:hAnsi="Calibri" w:cs="Calibri"/>
          <w:sz w:val="24"/>
          <w:szCs w:val="24"/>
        </w:rPr>
        <w:t xml:space="preserve"> que tenham participado de recadastramento anterior desde que: (a) tenham completado sessenta anos de idade, até a data do vencimento do documento de identidade, ou (b) que sejam portadores de deficiência física. Na oportunidade, será necessária a prova da</w:t>
      </w:r>
      <w:r w:rsidRPr="002C0F0C">
        <w:rPr>
          <w:rFonts w:ascii="Calibri" w:hAnsi="Calibri" w:cs="Calibri"/>
          <w:sz w:val="24"/>
          <w:szCs w:val="24"/>
        </w:rPr>
        <w:t xml:space="preserve"> participação no recadastramento e, se for o caso, da condição de pessoa portadora de deficiência física. (Lei n° 9.505/1997)</w:t>
      </w:r>
    </w:p>
    <w:p w14:paraId="30C63D5C" w14:textId="77777777" w:rsidR="00202681" w:rsidRPr="002C0F0C" w:rsidRDefault="002C0F0C">
      <w:pPr>
        <w:spacing w:after="28" w:line="259" w:lineRule="auto"/>
        <w:ind w:left="84" w:firstLine="0"/>
        <w:jc w:val="left"/>
        <w:rPr>
          <w:rFonts w:ascii="Calibri" w:hAnsi="Calibri" w:cs="Calibri"/>
        </w:rPr>
      </w:pPr>
      <w:r w:rsidRPr="002C0F0C">
        <w:rPr>
          <w:rFonts w:ascii="Calibri" w:hAnsi="Calibri" w:cs="Calibri"/>
          <w:b/>
          <w:color w:val="264170"/>
        </w:rPr>
        <w:t xml:space="preserve"> </w:t>
      </w:r>
    </w:p>
    <w:p w14:paraId="402CB855" w14:textId="3904567F" w:rsidR="00202681" w:rsidRPr="002C0F0C" w:rsidRDefault="002C0F0C" w:rsidP="00457EC3">
      <w:pPr>
        <w:spacing w:after="216"/>
        <w:ind w:left="1989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 xml:space="preserve">d2) Declaração de desimpedimento para o exercício de administração de sociedade empresária, assinada pelo(s) </w:t>
      </w:r>
      <w:r w:rsidRPr="002C0F0C">
        <w:rPr>
          <w:rFonts w:ascii="Calibri" w:hAnsi="Calibri" w:cs="Calibri"/>
          <w:sz w:val="24"/>
          <w:szCs w:val="24"/>
        </w:rPr>
        <w:t>administrador(es) designados no contrato, se essa não constar em cláusula própria (</w:t>
      </w:r>
      <w:r w:rsidRPr="002C0F0C">
        <w:rPr>
          <w:rFonts w:ascii="Calibri" w:hAnsi="Calibri" w:cs="Calibri"/>
          <w:color w:val="007BFF"/>
          <w:sz w:val="24"/>
          <w:szCs w:val="24"/>
          <w:u w:val="single" w:color="007BFF"/>
        </w:rPr>
        <w:t>Códi</w:t>
      </w:r>
      <w:r w:rsidRPr="002C0F0C">
        <w:rPr>
          <w:rFonts w:ascii="Calibri" w:hAnsi="Calibri" w:cs="Calibri"/>
          <w:color w:val="007BFF"/>
          <w:sz w:val="24"/>
          <w:szCs w:val="24"/>
        </w:rPr>
        <w:t>g</w:t>
      </w:r>
      <w:r w:rsidRPr="002C0F0C">
        <w:rPr>
          <w:rFonts w:ascii="Calibri" w:hAnsi="Calibri" w:cs="Calibri"/>
          <w:color w:val="007BFF"/>
          <w:sz w:val="24"/>
          <w:szCs w:val="24"/>
          <w:u w:val="single" w:color="007BFF"/>
        </w:rPr>
        <w:t>o Civil</w:t>
      </w:r>
      <w:r w:rsidRPr="002C0F0C">
        <w:rPr>
          <w:rFonts w:ascii="Calibri" w:hAnsi="Calibri" w:cs="Calibri"/>
          <w:sz w:val="24"/>
          <w:szCs w:val="24"/>
        </w:rPr>
        <w:t xml:space="preserve">, </w:t>
      </w:r>
      <w:r w:rsidRPr="002C0F0C">
        <w:rPr>
          <w:rFonts w:ascii="Calibri" w:hAnsi="Calibri" w:cs="Calibri"/>
          <w:color w:val="007BFF"/>
          <w:sz w:val="24"/>
          <w:szCs w:val="24"/>
          <w:u w:val="single" w:color="007BFF"/>
        </w:rPr>
        <w:t>arti</w:t>
      </w:r>
      <w:r w:rsidRPr="002C0F0C">
        <w:rPr>
          <w:rFonts w:ascii="Calibri" w:hAnsi="Calibri" w:cs="Calibri"/>
          <w:color w:val="007BFF"/>
          <w:sz w:val="24"/>
          <w:szCs w:val="24"/>
        </w:rPr>
        <w:t>g</w:t>
      </w:r>
      <w:r w:rsidRPr="002C0F0C">
        <w:rPr>
          <w:rFonts w:ascii="Calibri" w:hAnsi="Calibri" w:cs="Calibri"/>
          <w:color w:val="007BFF"/>
          <w:sz w:val="24"/>
          <w:szCs w:val="24"/>
          <w:u w:val="single" w:color="007BFF"/>
        </w:rPr>
        <w:t>o 1.011</w:t>
      </w:r>
      <w:r w:rsidRPr="002C0F0C">
        <w:rPr>
          <w:rFonts w:ascii="Calibri" w:hAnsi="Calibri" w:cs="Calibri"/>
          <w:sz w:val="24"/>
          <w:szCs w:val="24"/>
        </w:rPr>
        <w:t xml:space="preserve">, </w:t>
      </w:r>
      <w:r w:rsidRPr="002C0F0C">
        <w:rPr>
          <w:rFonts w:ascii="Calibri" w:hAnsi="Calibri" w:cs="Calibri"/>
          <w:color w:val="007BFF"/>
          <w:sz w:val="24"/>
          <w:szCs w:val="24"/>
        </w:rPr>
        <w:t xml:space="preserve">§ </w:t>
      </w:r>
      <w:r w:rsidRPr="002C0F0C">
        <w:rPr>
          <w:rFonts w:ascii="Calibri" w:hAnsi="Calibri" w:cs="Calibri"/>
          <w:color w:val="007BFF"/>
          <w:sz w:val="24"/>
          <w:szCs w:val="24"/>
          <w:u w:val="single" w:color="007BFF"/>
        </w:rPr>
        <w:t>1°</w:t>
      </w:r>
      <w:r w:rsidRPr="002C0F0C">
        <w:rPr>
          <w:rFonts w:ascii="Calibri" w:hAnsi="Calibri" w:cs="Calibri"/>
          <w:sz w:val="24"/>
          <w:szCs w:val="24"/>
        </w:rPr>
        <w:t>).</w:t>
      </w:r>
    </w:p>
    <w:p w14:paraId="6BA15D90" w14:textId="75F19149" w:rsidR="00202681" w:rsidRPr="002C0F0C" w:rsidRDefault="002C0F0C" w:rsidP="00457EC3">
      <w:pPr>
        <w:numPr>
          <w:ilvl w:val="0"/>
          <w:numId w:val="1"/>
        </w:numPr>
        <w:spacing w:after="229" w:line="260" w:lineRule="auto"/>
        <w:ind w:left="2182" w:hanging="203"/>
        <w:jc w:val="left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 xml:space="preserve">Aprovação prévia de órgão governamental competente, quando for o caso, vide </w:t>
      </w:r>
      <w:r w:rsidRPr="002C0F0C">
        <w:rPr>
          <w:rFonts w:ascii="Calibri" w:hAnsi="Calibri" w:cs="Calibri"/>
          <w:color w:val="007BFF"/>
          <w:sz w:val="24"/>
          <w:szCs w:val="24"/>
          <w:u w:val="single" w:color="007BFF"/>
        </w:rPr>
        <w:t>Instru</w:t>
      </w:r>
      <w:r w:rsidRPr="002C0F0C">
        <w:rPr>
          <w:rFonts w:ascii="Calibri" w:hAnsi="Calibri" w:cs="Calibri"/>
          <w:color w:val="007BFF"/>
          <w:sz w:val="24"/>
          <w:szCs w:val="24"/>
        </w:rPr>
        <w:t>ç</w:t>
      </w:r>
      <w:r w:rsidRPr="002C0F0C">
        <w:rPr>
          <w:rFonts w:ascii="Calibri" w:hAnsi="Calibri" w:cs="Calibri"/>
          <w:color w:val="007BFF"/>
          <w:sz w:val="24"/>
          <w:szCs w:val="24"/>
          <w:u w:val="single" w:color="007BFF"/>
        </w:rPr>
        <w:t>ão Normativa DREI n°</w:t>
      </w:r>
      <w:r w:rsidR="00457EC3" w:rsidRPr="002C0F0C">
        <w:rPr>
          <w:rFonts w:ascii="Calibri" w:hAnsi="Calibri" w:cs="Calibri"/>
          <w:color w:val="007BFF"/>
          <w:sz w:val="24"/>
          <w:szCs w:val="24"/>
          <w:u w:val="single" w:color="007BFF"/>
        </w:rPr>
        <w:t xml:space="preserve"> </w:t>
      </w:r>
      <w:r w:rsidRPr="002C0F0C">
        <w:rPr>
          <w:rFonts w:ascii="Calibri" w:hAnsi="Calibri" w:cs="Calibri"/>
          <w:color w:val="007BFF"/>
          <w:sz w:val="24"/>
          <w:szCs w:val="24"/>
          <w:u w:val="single" w:color="007BFF"/>
        </w:rPr>
        <w:t>14/2013</w:t>
      </w:r>
      <w:r w:rsidRPr="002C0F0C">
        <w:rPr>
          <w:rFonts w:ascii="Calibri" w:hAnsi="Calibri" w:cs="Calibri"/>
          <w:sz w:val="24"/>
          <w:szCs w:val="24"/>
        </w:rPr>
        <w:t>;</w:t>
      </w:r>
    </w:p>
    <w:p w14:paraId="288F3AFA" w14:textId="77777777" w:rsidR="00202681" w:rsidRPr="002C0F0C" w:rsidRDefault="002C0F0C" w:rsidP="00457EC3">
      <w:pPr>
        <w:numPr>
          <w:ilvl w:val="0"/>
          <w:numId w:val="1"/>
        </w:numPr>
        <w:spacing w:after="222"/>
        <w:ind w:left="2182" w:hanging="203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>Ficha de Cadastro Nacional - FCN, que poderá ser exclusivamente eletrônica;</w:t>
      </w:r>
    </w:p>
    <w:p w14:paraId="19D63E66" w14:textId="3E29C4E6" w:rsidR="00202681" w:rsidRDefault="002C0F0C" w:rsidP="00457EC3">
      <w:pPr>
        <w:numPr>
          <w:ilvl w:val="0"/>
          <w:numId w:val="1"/>
        </w:numPr>
        <w:spacing w:after="216"/>
        <w:ind w:left="2182" w:hanging="203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>Original do documento de consulta de viabi</w:t>
      </w:r>
      <w:r w:rsidRPr="002C0F0C">
        <w:rPr>
          <w:rFonts w:ascii="Calibri" w:hAnsi="Calibri" w:cs="Calibri"/>
          <w:sz w:val="24"/>
          <w:szCs w:val="24"/>
        </w:rPr>
        <w:t xml:space="preserve">lidade deferida em 01 (uma) via ou Pesquisa de Nome Empresarial </w:t>
      </w:r>
      <w:r w:rsidRPr="002C0F0C">
        <w:rPr>
          <w:rFonts w:ascii="Calibri" w:hAnsi="Calibri" w:cs="Calibri"/>
          <w:sz w:val="24"/>
          <w:szCs w:val="24"/>
        </w:rPr>
        <w:t>(busca prévia) até que a Junta Comercial passe a utilizar o sistema que viabilize a integração;</w:t>
      </w:r>
    </w:p>
    <w:p w14:paraId="63737356" w14:textId="77777777" w:rsidR="002C0F0C" w:rsidRPr="002C0F0C" w:rsidRDefault="002C0F0C" w:rsidP="002C0F0C">
      <w:pPr>
        <w:spacing w:after="216"/>
        <w:rPr>
          <w:rFonts w:ascii="Calibri" w:hAnsi="Calibri" w:cs="Calibri"/>
          <w:sz w:val="24"/>
          <w:szCs w:val="24"/>
        </w:rPr>
      </w:pPr>
    </w:p>
    <w:p w14:paraId="4B247DA9" w14:textId="77777777" w:rsidR="00202681" w:rsidRPr="002C0F0C" w:rsidRDefault="002C0F0C">
      <w:pPr>
        <w:numPr>
          <w:ilvl w:val="0"/>
          <w:numId w:val="1"/>
        </w:numPr>
        <w:spacing w:after="235"/>
        <w:ind w:left="2182" w:right="3905" w:hanging="203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>DBE - Documento Básico de Entrada da Receita Federal do Brasil.</w:t>
      </w:r>
    </w:p>
    <w:p w14:paraId="51F5957C" w14:textId="77777777" w:rsidR="00202681" w:rsidRPr="002C0F0C" w:rsidRDefault="002C0F0C" w:rsidP="002C0F0C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after="174" w:line="313" w:lineRule="auto"/>
        <w:ind w:left="1989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>Nos itens “f”, “g” e “h”, caso a Junta Comercial utilize sistema de integração entre os órgãos de registro e legalização de empresas, que permita transmissão eletrônica dos dados, fica dispens</w:t>
      </w:r>
      <w:r w:rsidRPr="002C0F0C">
        <w:rPr>
          <w:rFonts w:ascii="Calibri" w:hAnsi="Calibri" w:cs="Calibri"/>
          <w:sz w:val="24"/>
          <w:szCs w:val="24"/>
        </w:rPr>
        <w:t>ada a apresentação destes documentos.</w:t>
      </w:r>
    </w:p>
    <w:p w14:paraId="55748EC3" w14:textId="77777777" w:rsidR="00202681" w:rsidRPr="002C0F0C" w:rsidRDefault="002C0F0C">
      <w:pPr>
        <w:spacing w:after="28" w:line="259" w:lineRule="auto"/>
        <w:ind w:left="84" w:firstLine="0"/>
        <w:jc w:val="left"/>
        <w:rPr>
          <w:rFonts w:ascii="Calibri" w:hAnsi="Calibri" w:cs="Calibri"/>
        </w:rPr>
      </w:pPr>
      <w:r w:rsidRPr="002C0F0C">
        <w:rPr>
          <w:rFonts w:ascii="Calibri" w:hAnsi="Calibri" w:cs="Calibri"/>
          <w:b/>
          <w:color w:val="264170"/>
        </w:rPr>
        <w:t xml:space="preserve"> </w:t>
      </w:r>
    </w:p>
    <w:p w14:paraId="7395AB13" w14:textId="68774222" w:rsidR="00202681" w:rsidRPr="002C0F0C" w:rsidRDefault="002C0F0C" w:rsidP="002C0F0C">
      <w:pPr>
        <w:numPr>
          <w:ilvl w:val="0"/>
          <w:numId w:val="1"/>
        </w:numPr>
        <w:spacing w:after="1220"/>
        <w:ind w:left="2182" w:hanging="203"/>
        <w:rPr>
          <w:rFonts w:ascii="Calibri" w:hAnsi="Calibri" w:cs="Calibri"/>
          <w:sz w:val="24"/>
          <w:szCs w:val="24"/>
        </w:rPr>
      </w:pPr>
      <w:r w:rsidRPr="002C0F0C">
        <w:rPr>
          <w:rFonts w:ascii="Calibri" w:hAnsi="Calibri" w:cs="Calibri"/>
          <w:sz w:val="24"/>
          <w:szCs w:val="24"/>
        </w:rPr>
        <w:t xml:space="preserve">Comprovantes de pagamento: Guia de Recolhimento/Junta Comercial; e DARF/Cadastro Nacional de Empresas </w:t>
      </w:r>
      <w:r w:rsidRPr="002C0F0C">
        <w:rPr>
          <w:rFonts w:ascii="Calibri" w:hAnsi="Calibri" w:cs="Calibri"/>
          <w:sz w:val="24"/>
          <w:szCs w:val="24"/>
        </w:rPr>
        <w:t>(código 6621). No Distrito Federal, o recolhimento deve ser efetuado em um único DARF sob o código 6621.</w:t>
      </w:r>
    </w:p>
    <w:p w14:paraId="1C7DB025" w14:textId="6B27373D" w:rsidR="00457EC3" w:rsidRDefault="002C0F0C" w:rsidP="00457EC3">
      <w:pPr>
        <w:pStyle w:val="Ttulo2"/>
        <w:tabs>
          <w:tab w:val="center" w:pos="1664"/>
          <w:tab w:val="center" w:pos="5733"/>
          <w:tab w:val="center" w:pos="9021"/>
          <w:tab w:val="center" w:pos="12484"/>
        </w:tabs>
        <w:ind w:left="0" w:right="0"/>
        <w:jc w:val="left"/>
        <w:rPr>
          <w:color w:val="7E7E7E"/>
          <w:sz w:val="17"/>
          <w:u w:val="single" w:color="D2D2D2"/>
        </w:rPr>
      </w:pPr>
      <w:r>
        <w:rPr>
          <w:b w:val="0"/>
          <w:color w:val="000000"/>
          <w:sz w:val="22"/>
        </w:rPr>
        <w:tab/>
      </w:r>
      <w:r>
        <w:rPr>
          <w:noProof/>
        </w:rPr>
        <w:drawing>
          <wp:inline distT="0" distB="0" distL="0" distR="0" wp14:anchorId="1F838D36" wp14:editId="14CD037F">
            <wp:extent cx="1251508" cy="340547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1508" cy="3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ABAB"/>
          <w:sz w:val="23"/>
        </w:rPr>
        <w:tab/>
      </w:r>
      <w:r>
        <w:rPr>
          <w:color w:val="7E7E7E"/>
          <w:sz w:val="17"/>
          <w:u w:val="single" w:color="D2D2D2"/>
        </w:rPr>
        <w:t xml:space="preserve"> </w:t>
      </w:r>
    </w:p>
    <w:p w14:paraId="48BD94EB" w14:textId="56EC26AC" w:rsidR="00202681" w:rsidRDefault="002C0F0C">
      <w:pPr>
        <w:tabs>
          <w:tab w:val="right" w:pos="15801"/>
        </w:tabs>
        <w:spacing w:after="154" w:line="265" w:lineRule="auto"/>
        <w:ind w:left="-15" w:firstLine="0"/>
        <w:jc w:val="left"/>
      </w:pPr>
      <w:r>
        <w:rPr>
          <w:color w:val="000000"/>
        </w:rPr>
        <w:tab/>
      </w:r>
    </w:p>
    <w:sectPr w:rsidR="00202681" w:rsidSect="00457EC3">
      <w:pgSz w:w="16858" w:h="23842"/>
      <w:pgMar w:top="324" w:right="1690" w:bottom="308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A3FB1"/>
    <w:multiLevelType w:val="hybridMultilevel"/>
    <w:tmpl w:val="21808158"/>
    <w:lvl w:ilvl="0" w:tplc="06684784">
      <w:start w:val="1"/>
      <w:numFmt w:val="lowerLetter"/>
      <w:lvlText w:val="%1)"/>
      <w:lvlJc w:val="left"/>
      <w:pPr>
        <w:ind w:left="2183"/>
      </w:pPr>
      <w:rPr>
        <w:rFonts w:asciiTheme="minorHAnsi" w:eastAsia="Arial" w:hAnsiTheme="minorHAnsi" w:cstheme="minorHAnsi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347A9A">
      <w:start w:val="1"/>
      <w:numFmt w:val="lowerLetter"/>
      <w:lvlText w:val="%2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212D31C">
      <w:start w:val="1"/>
      <w:numFmt w:val="lowerRoman"/>
      <w:lvlText w:val="%3"/>
      <w:lvlJc w:val="left"/>
      <w:pPr>
        <w:ind w:left="545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EE43EEC">
      <w:start w:val="1"/>
      <w:numFmt w:val="decimal"/>
      <w:lvlText w:val="%4"/>
      <w:lvlJc w:val="left"/>
      <w:pPr>
        <w:ind w:left="617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89E4FAC">
      <w:start w:val="1"/>
      <w:numFmt w:val="lowerLetter"/>
      <w:lvlText w:val="%5"/>
      <w:lvlJc w:val="left"/>
      <w:pPr>
        <w:ind w:left="689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81435B8">
      <w:start w:val="1"/>
      <w:numFmt w:val="lowerRoman"/>
      <w:lvlText w:val="%6"/>
      <w:lvlJc w:val="left"/>
      <w:pPr>
        <w:ind w:left="761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D74C608">
      <w:start w:val="1"/>
      <w:numFmt w:val="decimal"/>
      <w:lvlText w:val="%7"/>
      <w:lvlJc w:val="left"/>
      <w:pPr>
        <w:ind w:left="833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B60F48C">
      <w:start w:val="1"/>
      <w:numFmt w:val="lowerLetter"/>
      <w:lvlText w:val="%8"/>
      <w:lvlJc w:val="left"/>
      <w:pPr>
        <w:ind w:left="905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E62352">
      <w:start w:val="1"/>
      <w:numFmt w:val="lowerRoman"/>
      <w:lvlText w:val="%9"/>
      <w:lvlJc w:val="left"/>
      <w:pPr>
        <w:ind w:left="977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681"/>
    <w:rsid w:val="00202681"/>
    <w:rsid w:val="002C0F0C"/>
    <w:rsid w:val="0045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2C98"/>
  <w15:docId w15:val="{B54CE2BB-E6AE-4367-8B6C-2EED431F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71" w:lineRule="auto"/>
      <w:ind w:left="94" w:hanging="10"/>
      <w:jc w:val="both"/>
    </w:pPr>
    <w:rPr>
      <w:rFonts w:ascii="Arial" w:eastAsia="Arial" w:hAnsi="Arial" w:cs="Arial"/>
      <w:color w:val="444444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"/>
      <w:ind w:left="2113"/>
      <w:outlineLvl w:val="0"/>
    </w:pPr>
    <w:rPr>
      <w:rFonts w:ascii="Calibri" w:eastAsia="Calibri" w:hAnsi="Calibri" w:cs="Calibri"/>
      <w:color w:val="444444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979" w:right="873"/>
      <w:jc w:val="right"/>
      <w:outlineLvl w:val="1"/>
    </w:pPr>
    <w:rPr>
      <w:rFonts w:ascii="Calibri" w:eastAsia="Calibri" w:hAnsi="Calibri" w:cs="Calibri"/>
      <w:b/>
      <w:color w:val="444444"/>
      <w:sz w:val="21"/>
    </w:rPr>
  </w:style>
  <w:style w:type="paragraph" w:styleId="Ttulo3">
    <w:name w:val="heading 3"/>
    <w:next w:val="Normal"/>
    <w:link w:val="Ttulo3Char"/>
    <w:uiPriority w:val="9"/>
    <w:unhideWhenUsed/>
    <w:qFormat/>
    <w:rsid w:val="00457EC3"/>
    <w:pPr>
      <w:keepNext/>
      <w:keepLines/>
      <w:spacing w:after="229"/>
      <w:ind w:left="44"/>
      <w:outlineLvl w:val="2"/>
    </w:pPr>
    <w:rPr>
      <w:rFonts w:ascii="Arial" w:eastAsia="Arial" w:hAnsi="Arial" w:cs="Arial"/>
      <w:b/>
      <w:color w:val="2F5496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444444"/>
      <w:sz w:val="21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444444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57EC3"/>
    <w:pPr>
      <w:ind w:left="720"/>
      <w:contextualSpacing/>
    </w:pPr>
  </w:style>
  <w:style w:type="paragraph" w:styleId="SemEspaamento">
    <w:name w:val="No Spacing"/>
    <w:uiPriority w:val="1"/>
    <w:qFormat/>
    <w:rsid w:val="00457EC3"/>
    <w:pPr>
      <w:spacing w:after="0" w:line="240" w:lineRule="auto"/>
      <w:ind w:left="94" w:hanging="10"/>
      <w:jc w:val="both"/>
    </w:pPr>
    <w:rPr>
      <w:rFonts w:ascii="Arial" w:eastAsia="Arial" w:hAnsi="Arial" w:cs="Arial"/>
      <w:color w:val="444444"/>
      <w:sz w:val="16"/>
    </w:rPr>
  </w:style>
  <w:style w:type="character" w:customStyle="1" w:styleId="Ttulo3Char">
    <w:name w:val="Título 3 Char"/>
    <w:basedOn w:val="Fontepargpadro"/>
    <w:link w:val="Ttulo3"/>
    <w:uiPriority w:val="9"/>
    <w:rsid w:val="00457EC3"/>
    <w:rPr>
      <w:rFonts w:ascii="Arial" w:eastAsia="Arial" w:hAnsi="Arial" w:cs="Arial"/>
      <w:b/>
      <w:color w:val="2F549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680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2021-02-11T14:31:00Z</dcterms:created>
  <dcterms:modified xsi:type="dcterms:W3CDTF">2021-02-11T14:31:00Z</dcterms:modified>
</cp:coreProperties>
</file>