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30AF" w14:textId="78D29C0D" w:rsidR="00BB3E89" w:rsidRPr="006F5862" w:rsidRDefault="006F5862" w:rsidP="008F2D46">
      <w:pPr>
        <w:tabs>
          <w:tab w:val="center" w:pos="8604"/>
        </w:tabs>
        <w:spacing w:after="1858" w:line="265" w:lineRule="auto"/>
        <w:ind w:left="0" w:firstLine="567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                                                                                                                                            </w:t>
      </w:r>
      <w:r w:rsidRPr="006F5862">
        <w:rPr>
          <w:rFonts w:asciiTheme="minorHAnsi" w:hAnsiTheme="minorHAnsi" w:cstheme="minorHAnsi"/>
          <w:color w:val="000000"/>
          <w:sz w:val="22"/>
        </w:rPr>
        <w:t>Guia Societário - Cadastro Nacional da Pessoa Jurídica (CNPJ)</w:t>
      </w:r>
    </w:p>
    <w:p w14:paraId="104602FD" w14:textId="0EB02913" w:rsidR="008F2D46" w:rsidRPr="008F2D46" w:rsidRDefault="006F5862" w:rsidP="006F5862">
      <w:pPr>
        <w:pStyle w:val="Ttulo3"/>
        <w:ind w:left="0"/>
        <w:rPr>
          <w:sz w:val="28"/>
          <w:szCs w:val="28"/>
        </w:rPr>
      </w:pPr>
      <w:r w:rsidRPr="008F2D46">
        <w:rPr>
          <w:sz w:val="28"/>
          <w:szCs w:val="28"/>
        </w:rPr>
        <w:t>Nacional da Pessoal Jurídica (</w:t>
      </w:r>
      <w:r w:rsidRPr="008F2D46">
        <w:rPr>
          <w:sz w:val="28"/>
          <w:szCs w:val="28"/>
        </w:rPr>
        <w:t xml:space="preserve">Cadastro </w:t>
      </w:r>
      <w:r w:rsidRPr="008F2D46">
        <w:rPr>
          <w:sz w:val="28"/>
          <w:szCs w:val="28"/>
        </w:rPr>
        <w:t>CNPJ)</w:t>
      </w:r>
    </w:p>
    <w:p w14:paraId="168F7F61" w14:textId="3A815FD3" w:rsidR="00BB3E89" w:rsidRDefault="006F5862">
      <w:pPr>
        <w:pStyle w:val="Ttulo1"/>
        <w:tabs>
          <w:tab w:val="center" w:pos="6082"/>
          <w:tab w:val="center" w:pos="14035"/>
        </w:tabs>
        <w:ind w:left="0"/>
      </w:pPr>
      <w:r>
        <w:tab/>
      </w:r>
    </w:p>
    <w:p w14:paraId="63EB4CDA" w14:textId="77777777" w:rsidR="008F2D46" w:rsidRPr="008F2D46" w:rsidRDefault="006F5862" w:rsidP="008F2D46">
      <w:pPr>
        <w:spacing w:after="51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O Cadastro Nacional da Pessoa Jurídica (CNPJ), é o número de registro da empresa, com ou sem personalidade</w:t>
      </w:r>
      <w:r w:rsidR="008F2D46" w:rsidRPr="008F2D46">
        <w:rPr>
          <w:rFonts w:asciiTheme="minorHAnsi" w:hAnsiTheme="minorHAnsi" w:cstheme="minorHAnsi"/>
          <w:sz w:val="24"/>
          <w:szCs w:val="24"/>
        </w:rPr>
        <w:t xml:space="preserve"> </w:t>
      </w:r>
      <w:r w:rsidRPr="008F2D46">
        <w:rPr>
          <w:rFonts w:asciiTheme="minorHAnsi" w:hAnsiTheme="minorHAnsi" w:cstheme="minorHAnsi"/>
          <w:sz w:val="24"/>
          <w:szCs w:val="24"/>
        </w:rPr>
        <w:t>jurídica junto à Receita Federal.</w:t>
      </w:r>
      <w:r w:rsidRPr="008F2D46">
        <w:rPr>
          <w:rFonts w:asciiTheme="minorHAnsi" w:hAnsiTheme="minorHAnsi" w:cstheme="minorHAnsi"/>
          <w:sz w:val="24"/>
          <w:szCs w:val="24"/>
        </w:rPr>
        <w:tab/>
      </w:r>
    </w:p>
    <w:p w14:paraId="683D3752" w14:textId="792F9772" w:rsidR="00BB3E89" w:rsidRPr="008F2D46" w:rsidRDefault="00BB3E89" w:rsidP="008F2D46">
      <w:pPr>
        <w:spacing w:after="51"/>
        <w:rPr>
          <w:rFonts w:asciiTheme="minorHAnsi" w:hAnsiTheme="minorHAnsi" w:cstheme="minorHAnsi"/>
          <w:sz w:val="24"/>
          <w:szCs w:val="24"/>
        </w:rPr>
      </w:pPr>
    </w:p>
    <w:p w14:paraId="45E0E196" w14:textId="31E0704D" w:rsidR="00BB3E89" w:rsidRDefault="006F5862" w:rsidP="008F2D46">
      <w:pPr>
        <w:spacing w:after="90"/>
        <w:ind w:right="824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 xml:space="preserve">A </w:t>
      </w:r>
      <w:r w:rsidRPr="008F2D46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Instru</w:t>
      </w:r>
      <w:r w:rsidRPr="008F2D46">
        <w:rPr>
          <w:rFonts w:asciiTheme="minorHAnsi" w:hAnsiTheme="minorHAnsi" w:cstheme="minorHAnsi"/>
          <w:color w:val="007BFF"/>
          <w:sz w:val="24"/>
          <w:szCs w:val="24"/>
        </w:rPr>
        <w:t>ç</w:t>
      </w:r>
      <w:r w:rsidRPr="008F2D46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ão Normativa RFB n° 1.634/2016</w:t>
      </w:r>
      <w:r w:rsidRPr="008F2D46">
        <w:rPr>
          <w:rFonts w:asciiTheme="minorHAnsi" w:hAnsiTheme="minorHAnsi" w:cstheme="minorHAnsi"/>
          <w:sz w:val="24"/>
          <w:szCs w:val="24"/>
        </w:rPr>
        <w:t xml:space="preserve">, em seu </w:t>
      </w:r>
      <w:r w:rsidRPr="008F2D46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arti</w:t>
      </w:r>
      <w:r w:rsidRPr="008F2D46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Pr="008F2D46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o 3°</w:t>
      </w:r>
      <w:r w:rsidRPr="008F2D46">
        <w:rPr>
          <w:rFonts w:asciiTheme="minorHAnsi" w:hAnsiTheme="minorHAnsi" w:cstheme="minorHAnsi"/>
          <w:sz w:val="24"/>
          <w:szCs w:val="24"/>
        </w:rPr>
        <w:t xml:space="preserve"> dispõe que, todas as entidades domiciliadas no Brasil, </w:t>
      </w:r>
      <w:r w:rsidRPr="008F2D46">
        <w:rPr>
          <w:rFonts w:asciiTheme="minorHAnsi" w:hAnsiTheme="minorHAnsi" w:cstheme="minorHAnsi"/>
          <w:sz w:val="24"/>
          <w:szCs w:val="24"/>
        </w:rPr>
        <w:t xml:space="preserve">inclusive as pessoas jurídicas equiparadas pela legislação do Imposto sobre a Renda, estão obrigadas a se </w:t>
      </w:r>
      <w:r w:rsidRPr="008F2D46">
        <w:rPr>
          <w:rFonts w:asciiTheme="minorHAnsi" w:hAnsiTheme="minorHAnsi" w:cstheme="minorHAnsi"/>
          <w:sz w:val="24"/>
          <w:szCs w:val="24"/>
        </w:rPr>
        <w:t>inscrever no CNPJ e a</w:t>
      </w:r>
      <w:r w:rsidR="008F2D46">
        <w:rPr>
          <w:rFonts w:asciiTheme="minorHAnsi" w:hAnsiTheme="minorHAnsi" w:cstheme="minorHAnsi"/>
          <w:sz w:val="24"/>
          <w:szCs w:val="24"/>
        </w:rPr>
        <w:t xml:space="preserve"> </w:t>
      </w:r>
      <w:r w:rsidRPr="008F2D46">
        <w:rPr>
          <w:rFonts w:asciiTheme="minorHAnsi" w:hAnsiTheme="minorHAnsi" w:cstheme="minorHAnsi"/>
          <w:sz w:val="24"/>
          <w:szCs w:val="24"/>
        </w:rPr>
        <w:t>cada um de seus estabelecimentos localizados no Brasil ou no exterior, antes do início de</w:t>
      </w:r>
      <w:r w:rsidR="008F2D46">
        <w:rPr>
          <w:rFonts w:asciiTheme="minorHAnsi" w:hAnsiTheme="minorHAnsi" w:cstheme="minorHAnsi"/>
          <w:sz w:val="24"/>
          <w:szCs w:val="24"/>
        </w:rPr>
        <w:t xml:space="preserve"> </w:t>
      </w:r>
      <w:r w:rsidRPr="008F2D46">
        <w:rPr>
          <w:rFonts w:asciiTheme="minorHAnsi" w:hAnsiTheme="minorHAnsi" w:cstheme="minorHAnsi"/>
          <w:sz w:val="24"/>
          <w:szCs w:val="24"/>
        </w:rPr>
        <w:t>suas atividades.</w:t>
      </w:r>
      <w:r w:rsidRPr="008F2D46">
        <w:rPr>
          <w:rFonts w:asciiTheme="minorHAnsi" w:hAnsiTheme="minorHAnsi" w:cstheme="minorHAnsi"/>
          <w:sz w:val="24"/>
          <w:szCs w:val="24"/>
        </w:rPr>
        <w:tab/>
      </w:r>
    </w:p>
    <w:p w14:paraId="54D20A89" w14:textId="77777777" w:rsidR="008F2D46" w:rsidRPr="008F2D46" w:rsidRDefault="008F2D46" w:rsidP="008F2D46">
      <w:pPr>
        <w:spacing w:after="90"/>
        <w:ind w:right="824"/>
        <w:rPr>
          <w:rFonts w:asciiTheme="minorHAnsi" w:hAnsiTheme="minorHAnsi" w:cstheme="minorHAnsi"/>
          <w:sz w:val="24"/>
          <w:szCs w:val="24"/>
        </w:rPr>
      </w:pPr>
    </w:p>
    <w:p w14:paraId="761AD24F" w14:textId="5A6F971B" w:rsidR="00BB3E89" w:rsidRDefault="006F5862" w:rsidP="008F2D46">
      <w:pPr>
        <w:spacing w:after="84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 xml:space="preserve">Sendo assim, a constituição do CNPJ da EIRELI será realizado no sítio da Receita Federal, através de </w:t>
      </w:r>
      <w:r w:rsidRPr="008F2D46">
        <w:rPr>
          <w:rFonts w:asciiTheme="minorHAnsi" w:hAnsiTheme="minorHAnsi" w:cstheme="minorHAnsi"/>
          <w:sz w:val="24"/>
          <w:szCs w:val="24"/>
        </w:rPr>
        <w:t>F</w:t>
      </w:r>
      <w:r w:rsidRPr="008F2D46">
        <w:rPr>
          <w:rFonts w:asciiTheme="minorHAnsi" w:hAnsiTheme="minorHAnsi" w:cstheme="minorHAnsi"/>
          <w:sz w:val="24"/>
          <w:szCs w:val="24"/>
        </w:rPr>
        <w:t>i</w:t>
      </w:r>
      <w:r w:rsidRPr="008F2D46">
        <w:rPr>
          <w:rFonts w:asciiTheme="minorHAnsi" w:hAnsiTheme="minorHAnsi" w:cstheme="minorHAnsi"/>
          <w:sz w:val="24"/>
          <w:szCs w:val="24"/>
        </w:rPr>
        <w:t>c</w:t>
      </w:r>
      <w:r w:rsidRPr="008F2D46">
        <w:rPr>
          <w:rFonts w:asciiTheme="minorHAnsi" w:hAnsiTheme="minorHAnsi" w:cstheme="minorHAnsi"/>
          <w:sz w:val="24"/>
          <w:szCs w:val="24"/>
        </w:rPr>
        <w:t>ha</w:t>
      </w:r>
      <w:r w:rsidR="008F2D46">
        <w:rPr>
          <w:rFonts w:asciiTheme="minorHAnsi" w:hAnsiTheme="minorHAnsi" w:cstheme="minorHAnsi"/>
          <w:sz w:val="24"/>
          <w:szCs w:val="24"/>
        </w:rPr>
        <w:t xml:space="preserve"> </w:t>
      </w:r>
      <w:r w:rsidRPr="008F2D46">
        <w:rPr>
          <w:rFonts w:asciiTheme="minorHAnsi" w:hAnsiTheme="minorHAnsi" w:cstheme="minorHAnsi"/>
          <w:sz w:val="24"/>
          <w:szCs w:val="24"/>
        </w:rPr>
        <w:t>Cadas</w:t>
      </w:r>
      <w:r w:rsidRPr="008F2D46">
        <w:rPr>
          <w:rFonts w:asciiTheme="minorHAnsi" w:hAnsiTheme="minorHAnsi" w:cstheme="minorHAnsi"/>
          <w:sz w:val="24"/>
          <w:szCs w:val="24"/>
        </w:rPr>
        <w:t xml:space="preserve">tral da Pessoa Jurídica por meio do Coletor Nacional (Coleta Web). Para os Estados que já possuem </w:t>
      </w:r>
      <w:r w:rsidRPr="008F2D46">
        <w:rPr>
          <w:rFonts w:asciiTheme="minorHAnsi" w:hAnsiTheme="minorHAnsi" w:cstheme="minorHAnsi"/>
          <w:sz w:val="24"/>
          <w:szCs w:val="24"/>
        </w:rPr>
        <w:t xml:space="preserve">integração de Junta Comercial e Receita Federal, o pedido do CNPJ se dará logo após deferida a viabilidade do nome empresarial e de local, </w:t>
      </w:r>
      <w:r w:rsidRPr="008F2D46">
        <w:rPr>
          <w:rFonts w:asciiTheme="minorHAnsi" w:hAnsiTheme="minorHAnsi" w:cstheme="minorHAnsi"/>
          <w:sz w:val="24"/>
          <w:szCs w:val="24"/>
        </w:rPr>
        <w:t xml:space="preserve">como acima exposto. Entretanto, para Estados que não possuem o sistema integrado o pedido de CNPJ é realizado após o registro do ato constitutivo na Junta Comercial. </w:t>
      </w:r>
    </w:p>
    <w:p w14:paraId="0604CFC9" w14:textId="77777777" w:rsidR="008F2D46" w:rsidRPr="008F2D46" w:rsidRDefault="008F2D46" w:rsidP="008F2D46">
      <w:pPr>
        <w:spacing w:after="84"/>
        <w:rPr>
          <w:rFonts w:asciiTheme="minorHAnsi" w:hAnsiTheme="minorHAnsi" w:cstheme="minorHAnsi"/>
          <w:sz w:val="28"/>
          <w:szCs w:val="28"/>
        </w:rPr>
      </w:pPr>
    </w:p>
    <w:p w14:paraId="7E031CDA" w14:textId="77777777" w:rsidR="00BB3E89" w:rsidRPr="008F2D46" w:rsidRDefault="006F5862">
      <w:pPr>
        <w:pStyle w:val="Ttulo2"/>
        <w:rPr>
          <w:rFonts w:asciiTheme="minorHAnsi" w:hAnsiTheme="minorHAnsi" w:cstheme="minorHAnsi"/>
          <w:sz w:val="28"/>
          <w:szCs w:val="28"/>
        </w:rPr>
      </w:pPr>
      <w:r w:rsidRPr="008F2D46">
        <w:rPr>
          <w:rFonts w:asciiTheme="minorHAnsi" w:hAnsiTheme="minorHAnsi" w:cstheme="minorHAnsi"/>
          <w:sz w:val="28"/>
          <w:szCs w:val="28"/>
        </w:rPr>
        <w:t xml:space="preserve">1 - Preenchimento de documentos de solicitação de atos perante o CNPJ </w:t>
      </w:r>
    </w:p>
    <w:p w14:paraId="09CA1C37" w14:textId="77777777" w:rsidR="006F5862" w:rsidRDefault="006F5862" w:rsidP="006F5862">
      <w:pPr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A solicitação de inscrição de primeiro estabelecimento (matriz) realizada no Coletor Nacional, solicitará o preenchimento das seguintes fichas:</w:t>
      </w:r>
    </w:p>
    <w:p w14:paraId="62157718" w14:textId="31183C32" w:rsidR="00BB3E89" w:rsidRPr="008F2D46" w:rsidRDefault="006F5862" w:rsidP="006F5862">
      <w:pPr>
        <w:rPr>
          <w:rFonts w:ascii="Calibri" w:hAnsi="Calibri" w:cs="Calibri"/>
          <w:sz w:val="24"/>
          <w:szCs w:val="24"/>
        </w:rPr>
      </w:pPr>
      <w:r w:rsidRPr="008F2D46">
        <w:rPr>
          <w:rFonts w:ascii="Calibri" w:hAnsi="Calibri" w:cs="Calibri"/>
          <w:sz w:val="24"/>
          <w:szCs w:val="24"/>
        </w:rPr>
        <w:t>Eventos:</w:t>
      </w:r>
    </w:p>
    <w:p w14:paraId="6C86B6EC" w14:textId="77777777" w:rsidR="00BB3E89" w:rsidRPr="008F2D46" w:rsidRDefault="006F5862" w:rsidP="008F2D46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31" w:color="000000"/>
        </w:pBdr>
        <w:spacing w:after="174" w:line="313" w:lineRule="auto"/>
        <w:ind w:left="84" w:right="141" w:firstLine="0"/>
        <w:jc w:val="left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Na Ficha cadastral da Pessoa Jurídica - FCPJ, deverá ser informado o Evento 101 - Inscrição do Primeiro</w:t>
      </w:r>
      <w:r w:rsidRPr="008F2D46">
        <w:rPr>
          <w:rFonts w:asciiTheme="minorHAnsi" w:hAnsiTheme="minorHAnsi" w:cstheme="minorHAnsi"/>
          <w:sz w:val="24"/>
          <w:szCs w:val="24"/>
        </w:rPr>
        <w:t xml:space="preserve"> Estabelecimento.</w:t>
      </w:r>
    </w:p>
    <w:p w14:paraId="07246876" w14:textId="77777777" w:rsidR="00BB3E89" w:rsidRPr="008F2D46" w:rsidRDefault="006F5862">
      <w:pPr>
        <w:spacing w:after="28" w:line="259" w:lineRule="auto"/>
        <w:ind w:left="84" w:firstLine="0"/>
        <w:jc w:val="left"/>
        <w:rPr>
          <w:sz w:val="24"/>
          <w:szCs w:val="24"/>
        </w:rPr>
      </w:pPr>
      <w:r w:rsidRPr="008F2D46">
        <w:rPr>
          <w:b/>
          <w:color w:val="264170"/>
          <w:sz w:val="24"/>
          <w:szCs w:val="24"/>
        </w:rPr>
        <w:t xml:space="preserve"> </w:t>
      </w:r>
    </w:p>
    <w:p w14:paraId="1AC81990" w14:textId="77777777" w:rsidR="00BB3E89" w:rsidRPr="008F2D46" w:rsidRDefault="006F5862">
      <w:pPr>
        <w:numPr>
          <w:ilvl w:val="0"/>
          <w:numId w:val="1"/>
        </w:numPr>
        <w:ind w:right="3914"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Identificação:</w:t>
      </w:r>
    </w:p>
    <w:p w14:paraId="0989609D" w14:textId="77777777" w:rsidR="00BB3E89" w:rsidRPr="008F2D46" w:rsidRDefault="006F5862" w:rsidP="008F2D46">
      <w:pPr>
        <w:ind w:left="2301" w:right="4145" w:firstLine="0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Nome empresarial;</w:t>
      </w:r>
    </w:p>
    <w:p w14:paraId="64033856" w14:textId="0860BF48" w:rsidR="008F2D46" w:rsidRPr="008F2D46" w:rsidRDefault="006F5862" w:rsidP="008F2D46">
      <w:pPr>
        <w:spacing w:after="0" w:line="557" w:lineRule="auto"/>
        <w:ind w:left="2301" w:firstLine="0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Natureza Jurídica: 230-5 Empresa Individual de Responsabilidade Limitada (de Natureza Empresária);</w:t>
      </w:r>
    </w:p>
    <w:p w14:paraId="1E68EA61" w14:textId="6B74D99B" w:rsidR="008F2D46" w:rsidRPr="008F2D46" w:rsidRDefault="006F5862" w:rsidP="008F2D46">
      <w:pPr>
        <w:pStyle w:val="PargrafodaLista"/>
        <w:numPr>
          <w:ilvl w:val="0"/>
          <w:numId w:val="2"/>
        </w:numPr>
        <w:spacing w:after="0" w:line="557" w:lineRule="auto"/>
        <w:ind w:right="3914"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Datas do</w:t>
      </w:r>
      <w:r w:rsidRPr="008F2D46">
        <w:rPr>
          <w:rFonts w:asciiTheme="minorHAnsi" w:hAnsiTheme="minorHAnsi" w:cstheme="minorHAnsi"/>
          <w:sz w:val="24"/>
          <w:szCs w:val="24"/>
        </w:rPr>
        <w:t xml:space="preserve"> Evento</w:t>
      </w:r>
      <w:r w:rsidRPr="008F2D46">
        <w:rPr>
          <w:rFonts w:asciiTheme="minorHAnsi" w:hAnsiTheme="minorHAnsi" w:cstheme="minorHAnsi"/>
          <w:sz w:val="24"/>
          <w:szCs w:val="24"/>
        </w:rPr>
        <w:t>;</w:t>
      </w:r>
    </w:p>
    <w:p w14:paraId="60ECA1E6" w14:textId="39C38F9A" w:rsidR="00BB3E89" w:rsidRPr="008F2D46" w:rsidRDefault="006F5862" w:rsidP="008F2D46">
      <w:pPr>
        <w:pStyle w:val="PargrafodaLista"/>
        <w:numPr>
          <w:ilvl w:val="0"/>
          <w:numId w:val="2"/>
        </w:numPr>
        <w:spacing w:after="0" w:line="557" w:lineRule="auto"/>
        <w:ind w:right="3914"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Atividade Econômica;</w:t>
      </w:r>
    </w:p>
    <w:p w14:paraId="710BD5E2" w14:textId="77777777" w:rsidR="00BB3E89" w:rsidRPr="008F2D46" w:rsidRDefault="006F5862" w:rsidP="008F2D46">
      <w:pPr>
        <w:numPr>
          <w:ilvl w:val="0"/>
          <w:numId w:val="2"/>
        </w:numPr>
        <w:ind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Objeto Social;</w:t>
      </w:r>
    </w:p>
    <w:p w14:paraId="6E193D6E" w14:textId="77777777" w:rsidR="00BB3E89" w:rsidRPr="008F2D46" w:rsidRDefault="006F5862">
      <w:pPr>
        <w:numPr>
          <w:ilvl w:val="0"/>
          <w:numId w:val="2"/>
        </w:numPr>
        <w:ind w:right="3914"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Endereço da Pessoa Jurídica;</w:t>
      </w:r>
    </w:p>
    <w:p w14:paraId="59568864" w14:textId="77777777" w:rsidR="00BB3E89" w:rsidRPr="008F2D46" w:rsidRDefault="006F5862">
      <w:pPr>
        <w:numPr>
          <w:ilvl w:val="0"/>
          <w:numId w:val="2"/>
        </w:numPr>
        <w:ind w:right="3914"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Dados para Contato</w:t>
      </w:r>
      <w:r w:rsidRPr="008F2D46">
        <w:rPr>
          <w:rFonts w:asciiTheme="minorHAnsi" w:hAnsiTheme="minorHAnsi" w:cstheme="minorHAnsi"/>
          <w:sz w:val="24"/>
          <w:szCs w:val="24"/>
        </w:rPr>
        <w:t>;</w:t>
      </w:r>
    </w:p>
    <w:p w14:paraId="67BB3FAA" w14:textId="77777777" w:rsidR="00BB3E89" w:rsidRPr="008F2D46" w:rsidRDefault="006F5862">
      <w:pPr>
        <w:numPr>
          <w:ilvl w:val="0"/>
          <w:numId w:val="2"/>
        </w:numPr>
        <w:ind w:right="3914"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Representante/Preposto;</w:t>
      </w:r>
    </w:p>
    <w:p w14:paraId="158646B6" w14:textId="77777777" w:rsidR="00BB3E89" w:rsidRPr="008F2D46" w:rsidRDefault="006F5862">
      <w:pPr>
        <w:numPr>
          <w:ilvl w:val="0"/>
          <w:numId w:val="2"/>
        </w:numPr>
        <w:ind w:right="3914"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Endereço do Representante da Pessoa Jurídica;</w:t>
      </w:r>
    </w:p>
    <w:p w14:paraId="5B536173" w14:textId="77777777" w:rsidR="00BB3E89" w:rsidRPr="008F2D46" w:rsidRDefault="006F5862">
      <w:pPr>
        <w:numPr>
          <w:ilvl w:val="0"/>
          <w:numId w:val="2"/>
        </w:numPr>
        <w:ind w:right="3914"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Porte da Empresa;</w:t>
      </w:r>
    </w:p>
    <w:p w14:paraId="28CE4E7F" w14:textId="77777777" w:rsidR="00BB3E89" w:rsidRPr="008F2D46" w:rsidRDefault="006F5862">
      <w:pPr>
        <w:numPr>
          <w:ilvl w:val="0"/>
          <w:numId w:val="2"/>
        </w:numPr>
        <w:ind w:right="3914" w:hanging="188"/>
        <w:rPr>
          <w:rFonts w:asciiTheme="minorHAnsi" w:hAnsiTheme="minorHAnsi" w:cstheme="minorHAnsi"/>
          <w:sz w:val="24"/>
          <w:szCs w:val="24"/>
        </w:rPr>
      </w:pPr>
      <w:r w:rsidRPr="008F2D46">
        <w:rPr>
          <w:rFonts w:asciiTheme="minorHAnsi" w:hAnsiTheme="minorHAnsi" w:cstheme="minorHAnsi"/>
          <w:sz w:val="24"/>
          <w:szCs w:val="24"/>
        </w:rPr>
        <w:t>Contabilista.</w:t>
      </w:r>
    </w:p>
    <w:p w14:paraId="0DA63030" w14:textId="77777777" w:rsidR="00BB3E89" w:rsidRPr="006F5862" w:rsidRDefault="006F5862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6F5862">
        <w:rPr>
          <w:rFonts w:asciiTheme="minorHAnsi" w:hAnsiTheme="minorHAnsi" w:cstheme="minorHAnsi"/>
          <w:sz w:val="24"/>
          <w:szCs w:val="24"/>
        </w:rPr>
        <w:t>2 - Transmissão dos documentos preenchidos</w:t>
      </w:r>
    </w:p>
    <w:p w14:paraId="396956CA" w14:textId="1933653E" w:rsidR="006F5862" w:rsidRDefault="006F5862" w:rsidP="006F5862">
      <w:pPr>
        <w:spacing w:after="107" w:line="435" w:lineRule="auto"/>
        <w:rPr>
          <w:rFonts w:asciiTheme="minorHAnsi" w:hAnsiTheme="minorHAnsi" w:cstheme="minorHAnsi"/>
          <w:sz w:val="24"/>
          <w:szCs w:val="24"/>
        </w:rPr>
      </w:pPr>
      <w:r w:rsidRPr="006F5862">
        <w:rPr>
          <w:rFonts w:asciiTheme="minorHAnsi" w:hAnsiTheme="minorHAnsi" w:cstheme="minorHAnsi"/>
          <w:sz w:val="24"/>
          <w:szCs w:val="24"/>
        </w:rPr>
        <w:t xml:space="preserve">Para transmitir os documentos preenchidos, o contribuinte deverá clicar no menu "Finalizar Preenchimento" no aplicativo Coletor Nacional. </w:t>
      </w:r>
    </w:p>
    <w:p w14:paraId="3B9350F1" w14:textId="2C57A533" w:rsidR="00BB3E89" w:rsidRPr="006F5862" w:rsidRDefault="006F5862" w:rsidP="006F5862">
      <w:pPr>
        <w:spacing w:after="107" w:line="435" w:lineRule="auto"/>
        <w:rPr>
          <w:rFonts w:asciiTheme="minorHAnsi" w:hAnsiTheme="minorHAnsi" w:cstheme="minorHAnsi"/>
          <w:sz w:val="24"/>
          <w:szCs w:val="24"/>
        </w:rPr>
      </w:pPr>
      <w:r w:rsidRPr="006F5862">
        <w:rPr>
          <w:rFonts w:asciiTheme="minorHAnsi" w:hAnsiTheme="minorHAnsi" w:cstheme="minorHAnsi"/>
          <w:b/>
          <w:color w:val="264170"/>
          <w:sz w:val="24"/>
          <w:szCs w:val="24"/>
        </w:rPr>
        <w:t>3 - Validação de dados</w:t>
      </w:r>
    </w:p>
    <w:p w14:paraId="1D950D89" w14:textId="77777777" w:rsidR="00BB3E89" w:rsidRPr="006F5862" w:rsidRDefault="006F5862" w:rsidP="006F5862">
      <w:pPr>
        <w:ind w:right="3914"/>
        <w:rPr>
          <w:rFonts w:asciiTheme="minorHAnsi" w:hAnsiTheme="minorHAnsi" w:cstheme="minorHAnsi"/>
          <w:sz w:val="24"/>
          <w:szCs w:val="24"/>
        </w:rPr>
      </w:pPr>
      <w:r w:rsidRPr="006F5862">
        <w:rPr>
          <w:rFonts w:asciiTheme="minorHAnsi" w:hAnsiTheme="minorHAnsi" w:cstheme="minorHAnsi"/>
          <w:sz w:val="24"/>
          <w:szCs w:val="24"/>
        </w:rPr>
        <w:t>O sistema realizará automaticamente uma validação de dados que resultará em pendências ou não.</w:t>
      </w:r>
    </w:p>
    <w:p w14:paraId="7A350E64" w14:textId="77777777" w:rsidR="00BB3E89" w:rsidRPr="006F5862" w:rsidRDefault="006F5862" w:rsidP="006F5862">
      <w:pPr>
        <w:ind w:right="3914"/>
        <w:rPr>
          <w:rFonts w:asciiTheme="minorHAnsi" w:hAnsiTheme="minorHAnsi" w:cstheme="minorHAnsi"/>
          <w:sz w:val="24"/>
          <w:szCs w:val="24"/>
        </w:rPr>
      </w:pPr>
      <w:r w:rsidRPr="006F5862">
        <w:rPr>
          <w:rFonts w:asciiTheme="minorHAnsi" w:hAnsiTheme="minorHAnsi" w:cstheme="minorHAnsi"/>
          <w:sz w:val="24"/>
          <w:szCs w:val="24"/>
        </w:rPr>
        <w:t>Havendo pendências, serão indicadas para consulta, impressão e resolução pelo contribuinte.</w:t>
      </w:r>
    </w:p>
    <w:p w14:paraId="6076196C" w14:textId="77777777" w:rsidR="00BB3E89" w:rsidRPr="006F5862" w:rsidRDefault="006F5862" w:rsidP="006F5862">
      <w:pPr>
        <w:rPr>
          <w:rFonts w:asciiTheme="minorHAnsi" w:hAnsiTheme="minorHAnsi" w:cstheme="minorHAnsi"/>
          <w:sz w:val="24"/>
          <w:szCs w:val="24"/>
        </w:rPr>
      </w:pPr>
      <w:r w:rsidRPr="006F5862">
        <w:rPr>
          <w:rFonts w:asciiTheme="minorHAnsi" w:hAnsiTheme="minorHAnsi" w:cstheme="minorHAnsi"/>
          <w:sz w:val="24"/>
          <w:szCs w:val="24"/>
        </w:rPr>
        <w:t>Não havendo pendências, o sistema disponibilizará para impressão o Documento Básico de Entrada no CNPJ (DBE) ou Protocolo de Transmissão, que conterá o número do re</w:t>
      </w:r>
      <w:r w:rsidRPr="006F5862">
        <w:rPr>
          <w:rFonts w:asciiTheme="minorHAnsi" w:hAnsiTheme="minorHAnsi" w:cstheme="minorHAnsi"/>
          <w:sz w:val="24"/>
          <w:szCs w:val="24"/>
        </w:rPr>
        <w:t>cibo, o número de identificação e as orientações para a entrega de documentos necessários ao deferimento.</w:t>
      </w:r>
    </w:p>
    <w:p w14:paraId="57E31B69" w14:textId="77777777" w:rsidR="006F5862" w:rsidRDefault="006F5862" w:rsidP="008F2D46">
      <w:pPr>
        <w:spacing w:after="183" w:line="320" w:lineRule="auto"/>
        <w:ind w:left="84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02DB15C4" w14:textId="77777777" w:rsidR="006F5862" w:rsidRDefault="006F5862" w:rsidP="008F2D46">
      <w:pPr>
        <w:spacing w:after="183" w:line="320" w:lineRule="auto"/>
        <w:ind w:left="84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61F8B0DB" w14:textId="77777777" w:rsidR="006F5862" w:rsidRDefault="006F5862" w:rsidP="008F2D46">
      <w:pPr>
        <w:spacing w:after="183" w:line="320" w:lineRule="auto"/>
        <w:ind w:left="84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2DBA3142" w14:textId="29DEC357" w:rsidR="00BB3E89" w:rsidRPr="006F5862" w:rsidRDefault="006F5862" w:rsidP="008F2D46">
      <w:pPr>
        <w:spacing w:after="183" w:line="320" w:lineRule="auto"/>
        <w:ind w:left="84" w:firstLine="0"/>
        <w:jc w:val="left"/>
        <w:rPr>
          <w:rFonts w:asciiTheme="minorHAnsi" w:hAnsiTheme="minorHAnsi" w:cstheme="minorHAnsi"/>
          <w:sz w:val="24"/>
          <w:szCs w:val="24"/>
        </w:rPr>
      </w:pPr>
      <w:r w:rsidRPr="006F5862">
        <w:rPr>
          <w:rFonts w:asciiTheme="minorHAnsi" w:hAnsiTheme="minorHAnsi" w:cstheme="minorHAnsi"/>
          <w:sz w:val="24"/>
          <w:szCs w:val="24"/>
        </w:rPr>
        <w:t xml:space="preserve">O </w:t>
      </w:r>
      <w:r w:rsidRPr="006F5862">
        <w:rPr>
          <w:rFonts w:asciiTheme="minorHAnsi" w:hAnsiTheme="minorHAnsi" w:cstheme="minorHAnsi"/>
          <w:sz w:val="24"/>
          <w:szCs w:val="24"/>
        </w:rPr>
        <w:tab/>
        <w:t xml:space="preserve">contribuinte </w:t>
      </w:r>
      <w:r w:rsidRPr="006F5862">
        <w:rPr>
          <w:rFonts w:asciiTheme="minorHAnsi" w:hAnsiTheme="minorHAnsi" w:cstheme="minorHAnsi"/>
          <w:sz w:val="24"/>
          <w:szCs w:val="24"/>
        </w:rPr>
        <w:tab/>
        <w:t xml:space="preserve">poderá </w:t>
      </w:r>
      <w:r w:rsidRPr="006F5862">
        <w:rPr>
          <w:rFonts w:asciiTheme="minorHAnsi" w:hAnsiTheme="minorHAnsi" w:cstheme="minorHAnsi"/>
          <w:sz w:val="24"/>
          <w:szCs w:val="24"/>
        </w:rPr>
        <w:tab/>
        <w:t xml:space="preserve">acompanhar </w:t>
      </w:r>
      <w:r w:rsidRPr="006F5862">
        <w:rPr>
          <w:rFonts w:asciiTheme="minorHAnsi" w:hAnsiTheme="minorHAnsi" w:cstheme="minorHAnsi"/>
          <w:sz w:val="24"/>
          <w:szCs w:val="24"/>
        </w:rPr>
        <w:tab/>
        <w:t xml:space="preserve">o </w:t>
      </w:r>
      <w:r w:rsidRPr="006F5862">
        <w:rPr>
          <w:rFonts w:asciiTheme="minorHAnsi" w:hAnsiTheme="minorHAnsi" w:cstheme="minorHAnsi"/>
          <w:sz w:val="24"/>
          <w:szCs w:val="24"/>
        </w:rPr>
        <w:tab/>
        <w:t xml:space="preserve">processo </w:t>
      </w:r>
      <w:r w:rsidRPr="006F5862">
        <w:rPr>
          <w:rFonts w:asciiTheme="minorHAnsi" w:hAnsiTheme="minorHAnsi" w:cstheme="minorHAnsi"/>
          <w:sz w:val="24"/>
          <w:szCs w:val="24"/>
        </w:rPr>
        <w:tab/>
        <w:t xml:space="preserve">transmitido </w:t>
      </w:r>
      <w:r w:rsidRPr="006F5862">
        <w:rPr>
          <w:rFonts w:asciiTheme="minorHAnsi" w:hAnsiTheme="minorHAnsi" w:cstheme="minorHAnsi"/>
          <w:sz w:val="24"/>
          <w:szCs w:val="24"/>
        </w:rPr>
        <w:tab/>
        <w:t xml:space="preserve">no link: </w:t>
      </w:r>
      <w:r w:rsidR="008F2D46" w:rsidRPr="006F5862">
        <w:rPr>
          <w:rFonts w:asciiTheme="minorHAnsi" w:hAnsiTheme="minorHAnsi" w:cstheme="minorHAnsi"/>
          <w:color w:val="007BFF"/>
          <w:sz w:val="24"/>
          <w:szCs w:val="24"/>
          <w:u w:val="single"/>
        </w:rPr>
        <w:t>http://www.receita.fazenda.</w:t>
      </w:r>
      <w:r w:rsidRPr="006F5862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Pr="006F5862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ov.br/PessoaJuridica/CNPJ/fcp</w:t>
      </w:r>
      <w:r w:rsidRPr="006F5862">
        <w:rPr>
          <w:rFonts w:asciiTheme="minorHAnsi" w:hAnsiTheme="minorHAnsi" w:cstheme="minorHAnsi"/>
          <w:color w:val="007BFF"/>
          <w:sz w:val="24"/>
          <w:szCs w:val="24"/>
        </w:rPr>
        <w:t>j</w:t>
      </w:r>
      <w:r w:rsidRPr="006F5862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/consulta.asp</w:t>
      </w:r>
    </w:p>
    <w:p w14:paraId="5B006F77" w14:textId="77777777" w:rsidR="00BB3E89" w:rsidRPr="006F5862" w:rsidRDefault="006F5862" w:rsidP="006F5862">
      <w:pPr>
        <w:spacing w:after="1278"/>
        <w:rPr>
          <w:rFonts w:asciiTheme="minorHAnsi" w:hAnsiTheme="minorHAnsi" w:cstheme="minorHAnsi"/>
          <w:sz w:val="24"/>
          <w:szCs w:val="24"/>
        </w:rPr>
      </w:pPr>
      <w:r w:rsidRPr="006F5862">
        <w:rPr>
          <w:rFonts w:asciiTheme="minorHAnsi" w:hAnsiTheme="minorHAnsi" w:cstheme="minorHAnsi"/>
          <w:sz w:val="24"/>
          <w:szCs w:val="24"/>
        </w:rPr>
        <w:t xml:space="preserve">Com o ato constitutivo protocolado e a geração do CNPJ, o próximo passo é a inscrição estadual ou </w:t>
      </w:r>
      <w:r w:rsidRPr="006F5862">
        <w:rPr>
          <w:rFonts w:asciiTheme="minorHAnsi" w:hAnsiTheme="minorHAnsi" w:cstheme="minorHAnsi"/>
          <w:sz w:val="24"/>
          <w:szCs w:val="24"/>
        </w:rPr>
        <w:t>m</w:t>
      </w:r>
      <w:r w:rsidRPr="006F5862">
        <w:rPr>
          <w:rFonts w:asciiTheme="minorHAnsi" w:hAnsiTheme="minorHAnsi" w:cstheme="minorHAnsi"/>
          <w:sz w:val="24"/>
          <w:szCs w:val="24"/>
        </w:rPr>
        <w:t>unicipal a depender da atividade que será desenvolvida.</w:t>
      </w:r>
    </w:p>
    <w:sectPr w:rsidR="00BB3E89" w:rsidRPr="006F5862" w:rsidSect="008F2D46">
      <w:pgSz w:w="16858" w:h="23842"/>
      <w:pgMar w:top="587" w:right="1549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66D3B"/>
    <w:multiLevelType w:val="hybridMultilevel"/>
    <w:tmpl w:val="14E4C5F8"/>
    <w:lvl w:ilvl="0" w:tplc="F73E8C56">
      <w:start w:val="3"/>
      <w:numFmt w:val="lowerLetter"/>
      <w:lvlText w:val="%1)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FA65322">
      <w:start w:val="1"/>
      <w:numFmt w:val="lowerLetter"/>
      <w:lvlText w:val="%2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1441A5E">
      <w:start w:val="1"/>
      <w:numFmt w:val="lowerRoman"/>
      <w:lvlText w:val="%3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8101A68">
      <w:start w:val="1"/>
      <w:numFmt w:val="decimal"/>
      <w:lvlText w:val="%4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FC8E31A">
      <w:start w:val="1"/>
      <w:numFmt w:val="lowerLetter"/>
      <w:lvlText w:val="%5"/>
      <w:lvlJc w:val="left"/>
      <w:pPr>
        <w:ind w:left="689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EA47C98">
      <w:start w:val="1"/>
      <w:numFmt w:val="lowerRoman"/>
      <w:lvlText w:val="%6"/>
      <w:lvlJc w:val="left"/>
      <w:pPr>
        <w:ind w:left="761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93E1F9E">
      <w:start w:val="1"/>
      <w:numFmt w:val="decimal"/>
      <w:lvlText w:val="%7"/>
      <w:lvlJc w:val="left"/>
      <w:pPr>
        <w:ind w:left="83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14877DA">
      <w:start w:val="1"/>
      <w:numFmt w:val="lowerLetter"/>
      <w:lvlText w:val="%8"/>
      <w:lvlJc w:val="left"/>
      <w:pPr>
        <w:ind w:left="90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26B738">
      <w:start w:val="1"/>
      <w:numFmt w:val="lowerRoman"/>
      <w:lvlText w:val="%9"/>
      <w:lvlJc w:val="left"/>
      <w:pPr>
        <w:ind w:left="97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59751C"/>
    <w:multiLevelType w:val="multilevel"/>
    <w:tmpl w:val="EE003AA6"/>
    <w:lvl w:ilvl="0">
      <w:start w:val="1"/>
      <w:numFmt w:val="lowerLetter"/>
      <w:lvlText w:val="%1)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89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61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3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0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89"/>
    <w:rsid w:val="006F5862"/>
    <w:rsid w:val="008F2D46"/>
    <w:rsid w:val="00BB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EB10"/>
  <w15:docId w15:val="{B54CE2BB-E6AE-4367-8B6C-2EED431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64" w:lineRule="auto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5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6" w:line="269" w:lineRule="auto"/>
      <w:ind w:left="94" w:hanging="10"/>
      <w:outlineLvl w:val="1"/>
    </w:pPr>
    <w:rPr>
      <w:rFonts w:ascii="Arial" w:eastAsia="Arial" w:hAnsi="Arial" w:cs="Arial"/>
      <w:b/>
      <w:color w:val="264170"/>
      <w:sz w:val="16"/>
    </w:rPr>
  </w:style>
  <w:style w:type="paragraph" w:styleId="Ttulo3">
    <w:name w:val="heading 3"/>
    <w:next w:val="Normal"/>
    <w:link w:val="Ttulo3Char"/>
    <w:uiPriority w:val="9"/>
    <w:unhideWhenUsed/>
    <w:qFormat/>
    <w:rsid w:val="006F5862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264170"/>
      <w:sz w:val="1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8F2D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2D4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F2D4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F5862"/>
    <w:rPr>
      <w:rFonts w:ascii="Arial" w:eastAsia="Arial" w:hAnsi="Arial" w:cs="Arial"/>
      <w:b/>
      <w:color w:val="2F549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2021-02-11T14:57:00Z</dcterms:created>
  <dcterms:modified xsi:type="dcterms:W3CDTF">2021-02-11T14:57:00Z</dcterms:modified>
</cp:coreProperties>
</file>