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55C03" w14:textId="35DAEB89" w:rsidR="008F1822" w:rsidRPr="00F857D5" w:rsidRDefault="00E757C9">
      <w:pPr>
        <w:tabs>
          <w:tab w:val="center" w:pos="8604"/>
        </w:tabs>
        <w:spacing w:after="1858" w:line="265" w:lineRule="auto"/>
        <w:ind w:left="-15"/>
        <w:rPr>
          <w:rFonts w:asciiTheme="minorHAnsi" w:hAnsiTheme="minorHAnsi" w:cstheme="minorHAnsi"/>
          <w:sz w:val="24"/>
          <w:szCs w:val="24"/>
        </w:rPr>
      </w:pPr>
      <w:r w:rsidRPr="00F857D5">
        <w:rPr>
          <w:rFonts w:asciiTheme="minorHAnsi" w:eastAsia="Arial" w:hAnsiTheme="minorHAnsi" w:cstheme="minorHAnsi"/>
          <w:sz w:val="24"/>
          <w:szCs w:val="24"/>
        </w:rPr>
        <w:tab/>
      </w:r>
      <w:r w:rsidR="00F857D5" w:rsidRPr="00F857D5">
        <w:rPr>
          <w:rFonts w:asciiTheme="minorHAnsi" w:eastAsia="Arial" w:hAnsiTheme="minorHAnsi" w:cstheme="minorHAnsi"/>
          <w:sz w:val="24"/>
          <w:szCs w:val="24"/>
        </w:rPr>
        <w:t xml:space="preserve">                                                                                </w:t>
      </w:r>
      <w:r w:rsidRPr="00F857D5">
        <w:rPr>
          <w:rFonts w:asciiTheme="minorHAnsi" w:eastAsia="Arial" w:hAnsiTheme="minorHAnsi" w:cstheme="minorHAnsi"/>
          <w:sz w:val="24"/>
          <w:szCs w:val="24"/>
        </w:rPr>
        <w:t>Guia Societário - Impedimentos para ser administrador</w:t>
      </w:r>
    </w:p>
    <w:p w14:paraId="743558AC" w14:textId="77777777" w:rsidR="00F857D5" w:rsidRPr="00F857D5" w:rsidRDefault="00F857D5">
      <w:pPr>
        <w:pStyle w:val="Ttulo1"/>
        <w:tabs>
          <w:tab w:val="center" w:pos="5627"/>
          <w:tab w:val="center" w:pos="14035"/>
        </w:tabs>
        <w:ind w:left="0"/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</w:pPr>
      <w:r w:rsidRPr="00F857D5">
        <w:rPr>
          <w:rFonts w:asciiTheme="minorHAnsi" w:hAnsiTheme="minorHAnsi" w:cstheme="minorHAnsi"/>
          <w:b/>
          <w:bCs/>
          <w:color w:val="4472C4" w:themeColor="accent1"/>
          <w:sz w:val="24"/>
          <w:szCs w:val="24"/>
        </w:rPr>
        <w:t>IMPEDIMENTOS PARA SER ADMINISTRADOR</w:t>
      </w:r>
    </w:p>
    <w:p w14:paraId="37165EB9" w14:textId="3D97B9D1" w:rsidR="008F1822" w:rsidRPr="00F857D5" w:rsidRDefault="00E757C9">
      <w:pPr>
        <w:pStyle w:val="Ttulo1"/>
        <w:tabs>
          <w:tab w:val="center" w:pos="5627"/>
          <w:tab w:val="center" w:pos="14035"/>
        </w:tabs>
        <w:ind w:left="0"/>
        <w:rPr>
          <w:rFonts w:asciiTheme="minorHAnsi" w:hAnsiTheme="minorHAnsi" w:cstheme="minorHAnsi"/>
          <w:sz w:val="24"/>
          <w:szCs w:val="24"/>
        </w:rPr>
      </w:pPr>
      <w:r w:rsidRPr="00F857D5">
        <w:rPr>
          <w:rFonts w:asciiTheme="minorHAnsi" w:hAnsiTheme="minorHAnsi" w:cstheme="minorHAnsi"/>
          <w:sz w:val="24"/>
          <w:szCs w:val="24"/>
        </w:rPr>
        <w:tab/>
      </w:r>
    </w:p>
    <w:p w14:paraId="660F41F5" w14:textId="6FACC04D" w:rsidR="008F1822" w:rsidRPr="00F857D5" w:rsidRDefault="00E757C9" w:rsidP="00F857D5">
      <w:pPr>
        <w:spacing w:after="64"/>
        <w:rPr>
          <w:rFonts w:asciiTheme="minorHAnsi" w:hAnsiTheme="minorHAnsi" w:cstheme="minorHAnsi"/>
          <w:sz w:val="24"/>
          <w:szCs w:val="24"/>
        </w:rPr>
      </w:pP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Observadas as exigências trazidas na </w:t>
      </w:r>
      <w:r w:rsidRPr="00F857D5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Instru</w:t>
      </w:r>
      <w:hyperlink r:id="rId5">
        <w:r w:rsidRPr="00F857D5">
          <w:rPr>
            <w:rFonts w:asciiTheme="minorHAnsi" w:eastAsia="Arial" w:hAnsiTheme="minorHAnsi" w:cstheme="minorHAnsi"/>
            <w:color w:val="007BFF"/>
            <w:sz w:val="24"/>
            <w:szCs w:val="24"/>
          </w:rPr>
          <w:t>ç</w:t>
        </w:r>
      </w:hyperlink>
      <w:r w:rsidRPr="00F857D5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ão Normativa DREI n° 038/2017</w:t>
      </w: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, </w:t>
      </w:r>
      <w:r w:rsidRPr="00F857D5">
        <w:rPr>
          <w:rFonts w:asciiTheme="minorHAnsi" w:eastAsia="Arial" w:hAnsiTheme="minorHAnsi" w:cstheme="minorHAnsi"/>
          <w:color w:val="007BFF"/>
          <w:sz w:val="24"/>
          <w:szCs w:val="24"/>
          <w:u w:val="single" w:color="007BFF"/>
        </w:rPr>
        <w:t>anexo V</w:t>
      </w: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>, item 1.2.7, não pode ser</w:t>
      </w:r>
      <w:r w:rsidR="00F857D5"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>administrador de sociedade limitada a pessoa:</w:t>
      </w: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ab/>
      </w:r>
      <w:hyperlink r:id="rId6"/>
    </w:p>
    <w:p w14:paraId="72624D03" w14:textId="77777777" w:rsidR="008F1822" w:rsidRPr="00F857D5" w:rsidRDefault="00E757C9" w:rsidP="00E757C9">
      <w:pPr>
        <w:spacing w:after="0"/>
        <w:rPr>
          <w:rFonts w:asciiTheme="minorHAnsi" w:hAnsiTheme="minorHAnsi" w:cstheme="minorHAnsi"/>
          <w:sz w:val="24"/>
          <w:szCs w:val="24"/>
        </w:rPr>
      </w:pPr>
      <w:r w:rsidRPr="00F857D5">
        <w:rPr>
          <w:rFonts w:asciiTheme="minorHAnsi" w:eastAsia="Arial" w:hAnsiTheme="minorHAnsi" w:cstheme="minorHAnsi"/>
          <w:color w:val="444444"/>
          <w:sz w:val="24"/>
          <w:szCs w:val="24"/>
        </w:rPr>
        <w:t xml:space="preserve"> </w:t>
      </w:r>
    </w:p>
    <w:tbl>
      <w:tblPr>
        <w:tblStyle w:val="TableGrid"/>
        <w:tblpPr w:vertAnchor="text" w:horzAnchor="margin" w:tblpY="98"/>
        <w:tblOverlap w:val="never"/>
        <w:tblW w:w="5000" w:type="pct"/>
        <w:tblInd w:w="0" w:type="dxa"/>
        <w:tblCellMar>
          <w:top w:w="50" w:type="dxa"/>
          <w:left w:w="99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3455"/>
      </w:tblGrid>
      <w:tr w:rsidR="00F857D5" w:rsidRPr="00F857D5" w14:paraId="6E91EB12" w14:textId="77777777" w:rsidTr="00F857D5">
        <w:trPr>
          <w:trHeight w:val="16098"/>
        </w:trPr>
        <w:tc>
          <w:tcPr>
            <w:tcW w:w="5000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54DBC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Não pode ser administrador de EIRELI a pessoa:</w:t>
            </w:r>
          </w:p>
          <w:p w14:paraId="7FE3F53E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3EA45101" w14:textId="77777777" w:rsid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Menor de 16 (dezesseis) anos e/ou relativamente incapaz;</w:t>
            </w:r>
          </w:p>
          <w:p w14:paraId="749C7658" w14:textId="161D8ADB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Pessoa Jurídica; </w:t>
            </w:r>
          </w:p>
          <w:p w14:paraId="3174FD2A" w14:textId="77777777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0" w:line="261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Condenada a pena que vede, ainda que temporariamente, o acesso a cargos públicos; ou por crime falimentar, de prevaricação, peita ou suborno, concussão, peculato; ou contra a economia popular, contra o sistema financeiro nacional, contra as normas de defesa da concorrência, contra relações de consumo, a fé pública ou a propriedade, enquanto perdurarem os efeitos da condenação;</w:t>
            </w:r>
          </w:p>
          <w:p w14:paraId="7020FD03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3C97443E" w14:textId="77777777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Impedida por norma constitucional ou por lei especial, com destaque para:</w:t>
            </w:r>
          </w:p>
          <w:p w14:paraId="1221C496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347F5B9A" w14:textId="77777777" w:rsidR="00F857D5" w:rsidRPr="00F857D5" w:rsidRDefault="00F857D5" w:rsidP="00F857D5">
            <w:pPr>
              <w:spacing w:after="0" w:line="261" w:lineRule="auto"/>
              <w:ind w:left="273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d1) Brasileiro naturalizado há menos de 10 (dez) anos, em empresa jornalística e de radiodifusão sonora e radiodifusão de sons e imagens;</w:t>
            </w:r>
          </w:p>
          <w:p w14:paraId="14E9E3C3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6BD367E2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    d2) Estrangeiro:</w:t>
            </w:r>
          </w:p>
          <w:p w14:paraId="28454436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04568FE1" w14:textId="0EBA1F3C" w:rsidR="00F857D5" w:rsidRPr="00F857D5" w:rsidRDefault="00F857D5" w:rsidP="00F857D5">
            <w:pPr>
              <w:numPr>
                <w:ilvl w:val="1"/>
                <w:numId w:val="1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Sem visto permanente, observado o disposto na </w:t>
            </w:r>
            <w:r w:rsidRPr="00F857D5">
              <w:rPr>
                <w:rFonts w:asciiTheme="minorHAnsi" w:eastAsia="Arial" w:hAnsiTheme="minorHAnsi" w:cstheme="minorHAnsi"/>
                <w:color w:val="007BFF"/>
                <w:sz w:val="24"/>
                <w:szCs w:val="24"/>
                <w:u w:val="single" w:color="007BFF"/>
              </w:rPr>
              <w:t>IN DREI n° 34/2017</w:t>
            </w: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(IN de estrangeiro);</w:t>
            </w:r>
          </w:p>
          <w:p w14:paraId="07DA706D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6217B639" w14:textId="77777777" w:rsidR="00F857D5" w:rsidRPr="00F857D5" w:rsidRDefault="00F857D5" w:rsidP="00F857D5">
            <w:pPr>
              <w:numPr>
                <w:ilvl w:val="1"/>
                <w:numId w:val="1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Em empresa jornalística de qualquer espécie, de radiodifusão sonora e de sons e imagens;         </w:t>
            </w:r>
          </w:p>
          <w:p w14:paraId="42B6A47D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73D12BF2" w14:textId="1151B8DF" w:rsidR="00F857D5" w:rsidRPr="00F857D5" w:rsidRDefault="00F857D5" w:rsidP="00F857D5">
            <w:pPr>
              <w:numPr>
                <w:ilvl w:val="1"/>
                <w:numId w:val="1"/>
              </w:numPr>
              <w:spacing w:after="0" w:line="261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Em pessoa jurídica que seja titular de direito real sobre imóvel rural na Faixa de </w:t>
            </w:r>
            <w:r w:rsidR="00E757C9"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Fronteira (</w:t>
            </w: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150 Km de largura ao longo das fronteiras terrestres), salvo com assentimento prévio do órgão competente; e</w:t>
            </w:r>
          </w:p>
          <w:p w14:paraId="3A8FC944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39291457" w14:textId="77777777" w:rsidR="00F857D5" w:rsidRPr="00F857D5" w:rsidRDefault="00F857D5" w:rsidP="00F857D5">
            <w:pPr>
              <w:numPr>
                <w:ilvl w:val="1"/>
                <w:numId w:val="1"/>
              </w:numPr>
              <w:spacing w:after="0" w:line="261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Português, ainda que no gozo dos direitos e obrigações previstos no Estatuto da Igualdade, comprovado mediante Portaria do Ministério da Justiça na hipótese de empresa jornalística e de radiodifusão sonora e de sons e imagens.</w:t>
            </w:r>
          </w:p>
          <w:p w14:paraId="77FE10E3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b/>
                <w:color w:val="264170"/>
                <w:sz w:val="24"/>
                <w:szCs w:val="24"/>
              </w:rPr>
              <w:t xml:space="preserve"> </w:t>
            </w:r>
          </w:p>
          <w:p w14:paraId="68DAD903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 cônsul, no seu distrito, salvo o não remunerado;</w:t>
            </w:r>
          </w:p>
          <w:p w14:paraId="2EC42E5E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3733A3AA" w14:textId="4A9B4495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hAnsiTheme="minorHAnsi" w:cstheme="minorHAnsi"/>
                <w:sz w:val="24"/>
                <w:szCs w:val="24"/>
              </w:rPr>
              <w:t>O funcionário público federal civil ou militar da ativa. Em relação ao funcionário estadual e municipal, observar as respectivas legislações;</w:t>
            </w:r>
          </w:p>
          <w:p w14:paraId="531A9097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3D29D6E9" w14:textId="39782203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 Chefe do Poder Executivo, federal, estadual ou municipal;</w:t>
            </w:r>
          </w:p>
          <w:p w14:paraId="2B45CA8C" w14:textId="77777777" w:rsid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21ED88D0" w14:textId="3D0AEFC0" w:rsidR="00F857D5" w:rsidRPr="00F857D5" w:rsidRDefault="00F857D5" w:rsidP="00F857D5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 magistrado;</w:t>
            </w:r>
          </w:p>
          <w:p w14:paraId="30A65221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6261D2CF" w14:textId="77777777" w:rsidR="00E757C9" w:rsidRPr="00E757C9" w:rsidRDefault="00F857D5" w:rsidP="00E757C9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Os membros do Ministério Público da União, que compreende:</w:t>
            </w:r>
          </w:p>
          <w:p w14:paraId="5DE1473C" w14:textId="77777777" w:rsidR="00E757C9" w:rsidRPr="00E757C9" w:rsidRDefault="00E757C9" w:rsidP="00E757C9">
            <w:pPr>
              <w:pStyle w:val="PargrafodaLista"/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</w:pPr>
          </w:p>
          <w:p w14:paraId="4FFD7F14" w14:textId="2D1A3B4D" w:rsidR="00F857D5" w:rsidRPr="00E757C9" w:rsidRDefault="00F857D5" w:rsidP="00E757C9">
            <w:pPr>
              <w:pStyle w:val="PargrafodaLista"/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E757C9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Ministério Público </w:t>
            </w:r>
            <w:r w:rsidRPr="00E757C9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Federal;  </w:t>
            </w:r>
          </w:p>
          <w:p w14:paraId="6CDFC457" w14:textId="28F2A0C8" w:rsidR="00E757C9" w:rsidRPr="00E757C9" w:rsidRDefault="00F857D5" w:rsidP="00E757C9">
            <w:pPr>
              <w:pStyle w:val="PargrafodaLista"/>
              <w:numPr>
                <w:ilvl w:val="0"/>
                <w:numId w:val="5"/>
              </w:numPr>
              <w:spacing w:after="0" w:line="261" w:lineRule="auto"/>
              <w:ind w:right="3738"/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</w:pPr>
            <w:r w:rsidRPr="00E757C9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Ministério Público do Trabalho;  </w:t>
            </w:r>
          </w:p>
          <w:p w14:paraId="54AF99E0" w14:textId="60D23DB0" w:rsidR="00E757C9" w:rsidRPr="00E757C9" w:rsidRDefault="00F857D5" w:rsidP="00E757C9">
            <w:pPr>
              <w:pStyle w:val="PargrafodaLista"/>
              <w:numPr>
                <w:ilvl w:val="0"/>
                <w:numId w:val="5"/>
              </w:numPr>
              <w:spacing w:after="0" w:line="261" w:lineRule="auto"/>
              <w:ind w:right="3738"/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</w:pPr>
            <w:r w:rsidRPr="00E757C9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Ministério Público Militar; e   </w:t>
            </w:r>
          </w:p>
          <w:p w14:paraId="3DFFED8B" w14:textId="696D3B57" w:rsidR="00F857D5" w:rsidRPr="00E757C9" w:rsidRDefault="00F857D5" w:rsidP="00E757C9">
            <w:pPr>
              <w:pStyle w:val="PargrafodaLista"/>
              <w:numPr>
                <w:ilvl w:val="0"/>
                <w:numId w:val="5"/>
              </w:numPr>
              <w:spacing w:after="0" w:line="261" w:lineRule="auto"/>
              <w:ind w:right="3738"/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</w:pPr>
            <w:r w:rsidRPr="00E757C9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Ministério Público do Distrito Federal e Territórios.</w:t>
            </w:r>
          </w:p>
          <w:p w14:paraId="1E48CCE2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69E8B657" w14:textId="77777777" w:rsidR="00F857D5" w:rsidRPr="00F857D5" w:rsidRDefault="00F857D5" w:rsidP="00F857D5">
            <w:pPr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Os membros do Ministério Público dos Estados, conforme a Constituição respectiva;</w:t>
            </w:r>
          </w:p>
          <w:p w14:paraId="1FA8294F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11457F4A" w14:textId="77777777" w:rsidR="00F857D5" w:rsidRPr="00F857D5" w:rsidRDefault="00F857D5" w:rsidP="00F857D5">
            <w:pPr>
              <w:numPr>
                <w:ilvl w:val="0"/>
                <w:numId w:val="2"/>
              </w:num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 falido, enquanto não for legalmente reabilitado; e</w:t>
            </w:r>
          </w:p>
          <w:p w14:paraId="3230E737" w14:textId="77777777" w:rsidR="00F857D5" w:rsidRPr="00F857D5" w:rsidRDefault="00F857D5" w:rsidP="00F857D5">
            <w:pPr>
              <w:spacing w:after="1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 xml:space="preserve"> </w:t>
            </w:r>
          </w:p>
          <w:p w14:paraId="2967ABD9" w14:textId="77777777" w:rsidR="00F857D5" w:rsidRPr="00E757C9" w:rsidRDefault="00F857D5" w:rsidP="00F857D5">
            <w:pPr>
              <w:numPr>
                <w:ilvl w:val="0"/>
                <w:numId w:val="2"/>
              </w:numPr>
              <w:spacing w:after="0"/>
              <w:rPr>
                <w:rFonts w:asciiTheme="minorHAnsi" w:hAnsiTheme="minorHAnsi" w:cstheme="minorHAnsi"/>
                <w:sz w:val="24"/>
                <w:szCs w:val="24"/>
              </w:rPr>
            </w:pPr>
            <w:r w:rsidRPr="00F857D5">
              <w:rPr>
                <w:rFonts w:asciiTheme="minorHAnsi" w:eastAsia="Arial" w:hAnsiTheme="minorHAnsi" w:cstheme="minorHAnsi"/>
                <w:color w:val="444444"/>
                <w:sz w:val="24"/>
                <w:szCs w:val="24"/>
              </w:rPr>
              <w:t>O leiloeiro.</w:t>
            </w:r>
          </w:p>
          <w:p w14:paraId="093870B6" w14:textId="77777777" w:rsidR="00E757C9" w:rsidRDefault="00E757C9" w:rsidP="00E757C9">
            <w:pPr>
              <w:pStyle w:val="PargrafodaLista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1922FEB3" w14:textId="137C7A2C" w:rsidR="00E757C9" w:rsidRPr="00F857D5" w:rsidRDefault="00E757C9" w:rsidP="00E757C9">
            <w:pPr>
              <w:spacing w:after="0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20DA96C4" w14:textId="5C26A092" w:rsidR="008F1822" w:rsidRDefault="008F1822" w:rsidP="00E757C9">
      <w:pPr>
        <w:tabs>
          <w:tab w:val="center" w:pos="1669"/>
          <w:tab w:val="center" w:pos="5733"/>
          <w:tab w:val="center" w:pos="9021"/>
          <w:tab w:val="center" w:pos="12484"/>
        </w:tabs>
        <w:spacing w:after="0"/>
      </w:pPr>
    </w:p>
    <w:sectPr w:rsidR="008F1822" w:rsidSect="00F857D5">
      <w:pgSz w:w="16858" w:h="23842"/>
      <w:pgMar w:top="587" w:right="1690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47AB"/>
    <w:multiLevelType w:val="hybridMultilevel"/>
    <w:tmpl w:val="2B4C52A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E589F"/>
    <w:multiLevelType w:val="hybridMultilevel"/>
    <w:tmpl w:val="080C0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064CE"/>
    <w:multiLevelType w:val="hybridMultilevel"/>
    <w:tmpl w:val="0BD683D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41B7"/>
    <w:multiLevelType w:val="hybridMultilevel"/>
    <w:tmpl w:val="75E65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C2845"/>
    <w:multiLevelType w:val="hybridMultilevel"/>
    <w:tmpl w:val="25B6FE8E"/>
    <w:lvl w:ilvl="0" w:tplc="04160017">
      <w:start w:val="1"/>
      <w:numFmt w:val="lowerLetter"/>
      <w:lvlText w:val="%1)"/>
      <w:lvlJc w:val="left"/>
      <w:pPr>
        <w:ind w:left="0"/>
      </w:pPr>
      <w:rPr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B4829A">
      <w:start w:val="1"/>
      <w:numFmt w:val="bullet"/>
      <w:lvlText w:val="●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BEE2B76">
      <w:start w:val="1"/>
      <w:numFmt w:val="bullet"/>
      <w:lvlText w:val="▪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A66B37C">
      <w:start w:val="1"/>
      <w:numFmt w:val="bullet"/>
      <w:lvlText w:val="•"/>
      <w:lvlJc w:val="left"/>
      <w:pPr>
        <w:ind w:left="217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6C0644">
      <w:start w:val="1"/>
      <w:numFmt w:val="bullet"/>
      <w:lvlText w:val="o"/>
      <w:lvlJc w:val="left"/>
      <w:pPr>
        <w:ind w:left="289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08296C">
      <w:start w:val="1"/>
      <w:numFmt w:val="bullet"/>
      <w:lvlText w:val="▪"/>
      <w:lvlJc w:val="left"/>
      <w:pPr>
        <w:ind w:left="361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422A9C">
      <w:start w:val="1"/>
      <w:numFmt w:val="bullet"/>
      <w:lvlText w:val="•"/>
      <w:lvlJc w:val="left"/>
      <w:pPr>
        <w:ind w:left="433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C0C558">
      <w:start w:val="1"/>
      <w:numFmt w:val="bullet"/>
      <w:lvlText w:val="o"/>
      <w:lvlJc w:val="left"/>
      <w:pPr>
        <w:ind w:left="505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5AC418E">
      <w:start w:val="1"/>
      <w:numFmt w:val="bullet"/>
      <w:lvlText w:val="▪"/>
      <w:lvlJc w:val="left"/>
      <w:pPr>
        <w:ind w:left="5772"/>
      </w:pPr>
      <w:rPr>
        <w:rFonts w:ascii="Arial" w:eastAsia="Arial" w:hAnsi="Arial" w:cs="Arial"/>
        <w:b w:val="0"/>
        <w:i w:val="0"/>
        <w:strike w:val="0"/>
        <w:dstrike w:val="0"/>
        <w:color w:val="444444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822"/>
    <w:rsid w:val="008F1822"/>
    <w:rsid w:val="00E757C9"/>
    <w:rsid w:val="00F8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CD2A"/>
  <w15:docId w15:val="{1576201C-EFEE-4D4C-971E-4EA0C37A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9"/>
      <w:ind w:left="2113"/>
      <w:outlineLvl w:val="0"/>
    </w:pPr>
    <w:rPr>
      <w:rFonts w:ascii="Calibri" w:eastAsia="Calibri" w:hAnsi="Calibri" w:cs="Calibri"/>
      <w:color w:val="444444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444444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F8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osocietario.econeteditora.com.br/noticias/assinatura-digital-de-atos-e-documentos-levados-a-registro-na-junta-comercial---drei-n-0752020" TargetMode="External"/><Relationship Id="rId5" Type="http://schemas.openxmlformats.org/officeDocument/2006/relationships/hyperlink" Target="http://www.econeteditora.com.br/?url=bdi/in/17/in_drei_038_2017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Comercial Link Contabilidade</dc:creator>
  <cp:keywords/>
  <cp:lastModifiedBy>Comercial Link Contabilidade</cp:lastModifiedBy>
  <cp:revision>2</cp:revision>
  <dcterms:created xsi:type="dcterms:W3CDTF">2021-02-11T20:27:00Z</dcterms:created>
  <dcterms:modified xsi:type="dcterms:W3CDTF">2021-02-11T20:27:00Z</dcterms:modified>
</cp:coreProperties>
</file>