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0298" w14:textId="25931073" w:rsidR="00664A68" w:rsidRPr="004021EF" w:rsidRDefault="004021EF">
      <w:pPr>
        <w:tabs>
          <w:tab w:val="center" w:pos="8604"/>
        </w:tabs>
        <w:spacing w:after="185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>
        <w:rPr>
          <w:rFonts w:ascii="Arial" w:eastAsia="Arial" w:hAnsi="Arial" w:cs="Arial"/>
          <w:sz w:val="16"/>
        </w:rPr>
        <w:tab/>
        <w:t xml:space="preserve">                                                                                 </w:t>
      </w:r>
      <w:r w:rsidRPr="004021EF">
        <w:rPr>
          <w:rFonts w:asciiTheme="minorHAnsi" w:eastAsia="Arial" w:hAnsiTheme="minorHAnsi" w:cstheme="minorHAnsi"/>
          <w:sz w:val="24"/>
          <w:szCs w:val="24"/>
        </w:rPr>
        <w:t>Guia Societário - Inscrição Estadual</w:t>
      </w:r>
    </w:p>
    <w:p w14:paraId="35F08EE0" w14:textId="104432D9" w:rsidR="004021EF" w:rsidRDefault="004021EF">
      <w:pPr>
        <w:pStyle w:val="Ttulo1"/>
        <w:tabs>
          <w:tab w:val="center" w:pos="4620"/>
          <w:tab w:val="center" w:pos="14035"/>
        </w:tabs>
        <w:ind w:left="0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4021E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INSCRIÇÃO ESTADUAL</w:t>
      </w:r>
    </w:p>
    <w:p w14:paraId="678CDE1C" w14:textId="28BEAC9B" w:rsidR="00664A68" w:rsidRPr="004021EF" w:rsidRDefault="004021EF">
      <w:pPr>
        <w:pStyle w:val="Ttulo1"/>
        <w:tabs>
          <w:tab w:val="center" w:pos="4620"/>
          <w:tab w:val="center" w:pos="14035"/>
        </w:tabs>
        <w:ind w:left="0"/>
        <w:rPr>
          <w:rFonts w:asciiTheme="minorHAnsi" w:hAnsiTheme="minorHAnsi" w:cstheme="minorHAnsi"/>
          <w:bCs/>
          <w:sz w:val="24"/>
          <w:szCs w:val="24"/>
        </w:rPr>
      </w:pPr>
      <w:r w:rsidRPr="004021EF">
        <w:rPr>
          <w:rFonts w:asciiTheme="minorHAnsi" w:hAnsiTheme="minorHAnsi" w:cstheme="minorHAnsi"/>
          <w:bCs/>
          <w:sz w:val="24"/>
          <w:szCs w:val="24"/>
        </w:rPr>
        <w:tab/>
      </w:r>
    </w:p>
    <w:p w14:paraId="2231B8D5" w14:textId="77777777" w:rsidR="00664A68" w:rsidRPr="004021EF" w:rsidRDefault="004021EF">
      <w:pPr>
        <w:spacing w:after="54" w:line="270" w:lineRule="auto"/>
        <w:ind w:left="94" w:right="668" w:hanging="10"/>
        <w:rPr>
          <w:rFonts w:asciiTheme="minorHAnsi" w:hAnsiTheme="minorHAnsi" w:cstheme="minorHAnsi"/>
          <w:sz w:val="24"/>
          <w:szCs w:val="24"/>
        </w:rPr>
      </w:pP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Os </w:t>
      </w: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>estabelecimentos que pretendem realizar operações relativas à circulação de mercadorias e prestação de</w:t>
      </w:r>
    </w:p>
    <w:p w14:paraId="688C82FE" w14:textId="68A5F5AC" w:rsidR="00664A68" w:rsidRDefault="004021EF">
      <w:pPr>
        <w:spacing w:after="7" w:line="270" w:lineRule="auto"/>
        <w:ind w:left="94" w:right="668" w:hanging="10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serviços de transporte interestadual e intermunicipal e de comunicação devem efetuar sua inscrição no Cadastro </w:t>
      </w:r>
      <w:hyperlink r:id="rId4"/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>de Contribuintes do ICMS.</w:t>
      </w: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ab/>
      </w:r>
    </w:p>
    <w:p w14:paraId="41CEC092" w14:textId="77777777" w:rsidR="004021EF" w:rsidRPr="004021EF" w:rsidRDefault="004021EF" w:rsidP="004021EF">
      <w:pPr>
        <w:spacing w:after="7" w:line="270" w:lineRule="auto"/>
        <w:ind w:left="94" w:right="-1" w:hanging="10"/>
        <w:rPr>
          <w:rFonts w:asciiTheme="minorHAnsi" w:hAnsiTheme="minorHAnsi" w:cstheme="minorHAnsi"/>
          <w:sz w:val="24"/>
          <w:szCs w:val="24"/>
        </w:rPr>
      </w:pPr>
    </w:p>
    <w:p w14:paraId="301D3ED5" w14:textId="77777777" w:rsidR="004021EF" w:rsidRDefault="004021EF" w:rsidP="004021EF">
      <w:pPr>
        <w:spacing w:after="0"/>
        <w:ind w:right="1142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>Ressalta-se que, em cada Unidade da Federação existe legislação própria sobre o Cadastro de C</w:t>
      </w: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ontribuintes do </w:t>
      </w: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>ICMS.</w:t>
      </w:r>
    </w:p>
    <w:p w14:paraId="3CB4B326" w14:textId="77777777" w:rsidR="004021EF" w:rsidRDefault="004021EF" w:rsidP="004021EF">
      <w:pPr>
        <w:spacing w:after="0"/>
        <w:ind w:right="1142"/>
        <w:rPr>
          <w:rFonts w:asciiTheme="minorHAnsi" w:eastAsia="Arial" w:hAnsiTheme="minorHAnsi" w:cstheme="minorHAnsi"/>
          <w:color w:val="444444"/>
          <w:sz w:val="24"/>
          <w:szCs w:val="24"/>
        </w:rPr>
      </w:pPr>
    </w:p>
    <w:p w14:paraId="017E9E25" w14:textId="6D0039C2" w:rsidR="00664A68" w:rsidRPr="004021EF" w:rsidRDefault="004021EF" w:rsidP="004021EF">
      <w:pPr>
        <w:spacing w:after="0"/>
        <w:ind w:right="1142"/>
        <w:rPr>
          <w:rFonts w:asciiTheme="minorHAnsi" w:eastAsia="Arial" w:hAnsiTheme="minorHAnsi" w:cstheme="minorHAnsi"/>
          <w:color w:val="444444"/>
          <w:sz w:val="24"/>
          <w:szCs w:val="24"/>
        </w:rPr>
      </w:pPr>
      <w:r w:rsidRPr="004021EF">
        <w:rPr>
          <w:rFonts w:asciiTheme="minorHAnsi" w:eastAsia="Arial" w:hAnsiTheme="minorHAnsi" w:cstheme="minorHAnsi"/>
          <w:color w:val="444444"/>
          <w:sz w:val="24"/>
          <w:szCs w:val="24"/>
        </w:rPr>
        <w:t>Portanto, devem ser verificadas as regras específicas exigíveis em cada Estado, referentes a obrigatoriedade, cadastro, substituto tributário, prazos, benefícios, dentre outras particularidades.</w:t>
      </w:r>
    </w:p>
    <w:p w14:paraId="2C573C9A" w14:textId="255B2488" w:rsidR="004021EF" w:rsidRPr="004021EF" w:rsidRDefault="004021EF" w:rsidP="004021EF">
      <w:pPr>
        <w:tabs>
          <w:tab w:val="center" w:pos="1666"/>
          <w:tab w:val="center" w:pos="5733"/>
          <w:tab w:val="center" w:pos="9021"/>
          <w:tab w:val="center" w:pos="12484"/>
        </w:tabs>
        <w:spacing w:after="0"/>
        <w:rPr>
          <w:rFonts w:asciiTheme="minorHAnsi" w:eastAsia="Arial" w:hAnsiTheme="minorHAnsi" w:cstheme="minorHAnsi"/>
          <w:sz w:val="24"/>
          <w:szCs w:val="24"/>
        </w:rPr>
      </w:pPr>
      <w:r w:rsidRPr="004021EF">
        <w:rPr>
          <w:rFonts w:asciiTheme="minorHAnsi" w:hAnsiTheme="minorHAnsi" w:cstheme="minorHAnsi"/>
          <w:sz w:val="24"/>
          <w:szCs w:val="24"/>
        </w:rPr>
        <w:tab/>
      </w:r>
      <w:r w:rsidRPr="004021E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1EAF94B" wp14:editId="2E6A5816">
            <wp:extent cx="1251508" cy="340547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09E" w14:textId="415D7203" w:rsidR="00664A68" w:rsidRDefault="004021EF">
      <w:pPr>
        <w:tabs>
          <w:tab w:val="right" w:pos="15801"/>
        </w:tabs>
        <w:spacing w:after="154" w:line="265" w:lineRule="auto"/>
        <w:ind w:left="-15"/>
      </w:pPr>
      <w:r>
        <w:rPr>
          <w:rFonts w:ascii="Arial" w:eastAsia="Arial" w:hAnsi="Arial" w:cs="Arial"/>
          <w:sz w:val="16"/>
        </w:rPr>
        <w:tab/>
      </w:r>
    </w:p>
    <w:sectPr w:rsidR="00664A68" w:rsidSect="004021EF">
      <w:pgSz w:w="16858" w:h="23842"/>
      <w:pgMar w:top="587" w:right="2683" w:bottom="1440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A68"/>
    <w:rsid w:val="004021EF"/>
    <w:rsid w:val="006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CF07"/>
  <w15:docId w15:val="{ABDEDD5B-25CF-4791-AD57-0BBF022C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9"/>
      <w:ind w:left="2113"/>
      <w:outlineLvl w:val="0"/>
    </w:pPr>
    <w:rPr>
      <w:rFonts w:ascii="Calibri" w:eastAsia="Calibri" w:hAnsi="Calibri" w:cs="Calibri"/>
      <w:b/>
      <w:color w:val="444444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444444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cosocietario.econeteditora.com.br/noticias/assinatura-digital-de-atos-e-documentos-levados-a-registro-na-junta-comercial---drei-n-07520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2021-02-11T20:35:00Z</dcterms:created>
  <dcterms:modified xsi:type="dcterms:W3CDTF">2021-02-11T20:35:00Z</dcterms:modified>
</cp:coreProperties>
</file>