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8544" w14:textId="74C9B50E" w:rsidR="006A3DB9" w:rsidRPr="00BF2F1C" w:rsidRDefault="00BF2F1C" w:rsidP="00BF2F1C">
      <w:pPr>
        <w:tabs>
          <w:tab w:val="center" w:pos="8604"/>
        </w:tabs>
        <w:spacing w:after="1858" w:line="265" w:lineRule="auto"/>
        <w:ind w:left="-15" w:hanging="127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16"/>
        </w:rPr>
        <w:tab/>
      </w:r>
      <w:r w:rsidRPr="00BF2F1C">
        <w:rPr>
          <w:rFonts w:asciiTheme="minorHAnsi" w:eastAsia="Arial" w:hAnsiTheme="minorHAnsi" w:cstheme="minorHAnsi"/>
          <w:sz w:val="24"/>
          <w:szCs w:val="24"/>
        </w:rPr>
        <w:t>Guia Societário - Inscrição Municipal</w:t>
      </w:r>
    </w:p>
    <w:p w14:paraId="20BF5F72" w14:textId="77777777" w:rsidR="00BF2F1C" w:rsidRPr="00BF2F1C" w:rsidRDefault="00BF2F1C">
      <w:pPr>
        <w:pStyle w:val="Ttulo1"/>
        <w:tabs>
          <w:tab w:val="center" w:pos="4680"/>
          <w:tab w:val="center" w:pos="14035"/>
        </w:tabs>
        <w:ind w:left="0"/>
        <w:rPr>
          <w:rFonts w:asciiTheme="minorHAnsi" w:hAnsiTheme="minorHAnsi" w:cstheme="minorHAnsi"/>
          <w:bCs/>
          <w:color w:val="4472C4" w:themeColor="accent1"/>
          <w:sz w:val="28"/>
          <w:szCs w:val="28"/>
        </w:rPr>
      </w:pPr>
      <w:r w:rsidRPr="00BF2F1C">
        <w:rPr>
          <w:rFonts w:asciiTheme="minorHAnsi" w:hAnsiTheme="minorHAnsi" w:cstheme="minorHAnsi"/>
          <w:bCs/>
          <w:color w:val="4472C4" w:themeColor="accent1"/>
          <w:sz w:val="28"/>
          <w:szCs w:val="28"/>
        </w:rPr>
        <w:t>INSCRIÇÃO MUNICIPAL</w:t>
      </w:r>
    </w:p>
    <w:p w14:paraId="367B1853" w14:textId="7AFB963B" w:rsidR="006A3DB9" w:rsidRPr="00BF2F1C" w:rsidRDefault="00BF2F1C">
      <w:pPr>
        <w:pStyle w:val="Ttulo1"/>
        <w:tabs>
          <w:tab w:val="center" w:pos="4680"/>
          <w:tab w:val="center" w:pos="14035"/>
        </w:tabs>
        <w:ind w:left="0"/>
        <w:rPr>
          <w:rFonts w:asciiTheme="minorHAnsi" w:hAnsiTheme="minorHAnsi" w:cstheme="minorHAnsi"/>
          <w:bCs/>
          <w:sz w:val="28"/>
          <w:szCs w:val="28"/>
        </w:rPr>
      </w:pPr>
      <w:r w:rsidRPr="00BF2F1C">
        <w:rPr>
          <w:rFonts w:asciiTheme="minorHAnsi" w:hAnsiTheme="minorHAnsi" w:cstheme="minorHAnsi"/>
          <w:bCs/>
          <w:sz w:val="28"/>
          <w:szCs w:val="28"/>
        </w:rPr>
        <w:tab/>
      </w:r>
    </w:p>
    <w:p w14:paraId="43F7FA8C" w14:textId="15503D50" w:rsidR="006A3DB9" w:rsidRDefault="00BF2F1C" w:rsidP="00BF2F1C">
      <w:pPr>
        <w:spacing w:after="61"/>
        <w:ind w:left="94" w:right="-141" w:hanging="10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>É o cadastro da pessoa jurídica no órgão municipal (Prefeitura), nos casos em que a atividade seja de prestação</w:t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de serviços. A inscrição municipal está vinculada ao Imposto Sobre Serviços de Qualquer Natureza, no caso dos 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serviços relacionados no </w:t>
      </w:r>
      <w:r w:rsidRPr="00BF2F1C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anexo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da </w:t>
      </w:r>
      <w:r w:rsidRPr="00BF2F1C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Lei Complementar n° 116/2003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. </w:t>
      </w:r>
    </w:p>
    <w:p w14:paraId="42292F16" w14:textId="77777777" w:rsidR="00BF2F1C" w:rsidRPr="00BF2F1C" w:rsidRDefault="00BF2F1C">
      <w:pPr>
        <w:spacing w:after="0"/>
        <w:ind w:left="94" w:right="257" w:hanging="10"/>
        <w:rPr>
          <w:rFonts w:asciiTheme="minorHAnsi" w:hAnsiTheme="minorHAnsi" w:cstheme="minorHAnsi"/>
          <w:sz w:val="24"/>
          <w:szCs w:val="24"/>
        </w:rPr>
      </w:pPr>
    </w:p>
    <w:p w14:paraId="751D5C74" w14:textId="41002C65" w:rsidR="006A3DB9" w:rsidRPr="00BF2F1C" w:rsidRDefault="00BF2F1C">
      <w:pPr>
        <w:tabs>
          <w:tab w:val="center" w:pos="6349"/>
          <w:tab w:val="center" w:pos="14033"/>
        </w:tabs>
        <w:spacing w:after="199"/>
        <w:rPr>
          <w:rFonts w:asciiTheme="minorHAnsi" w:hAnsiTheme="minorHAnsi" w:cstheme="minorHAnsi"/>
          <w:sz w:val="24"/>
          <w:szCs w:val="24"/>
        </w:rPr>
      </w:pP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>A inscrição municipal também possui legislação própria em cada município.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ab/>
      </w:r>
    </w:p>
    <w:p w14:paraId="5FF499CA" w14:textId="5779C63D" w:rsidR="006A3DB9" w:rsidRPr="00BF2F1C" w:rsidRDefault="00BF2F1C" w:rsidP="00BF2F1C">
      <w:pPr>
        <w:spacing w:after="0"/>
        <w:ind w:right="257"/>
        <w:rPr>
          <w:rFonts w:asciiTheme="minorHAnsi" w:hAnsiTheme="minorHAnsi" w:cstheme="minorHAnsi"/>
          <w:sz w:val="24"/>
          <w:szCs w:val="24"/>
        </w:rPr>
      </w:pP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>Sendo assim, devem ser verificadas as regras específicas exigíveis em cada Município, referentes a</w:t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BF2F1C">
        <w:rPr>
          <w:rFonts w:asciiTheme="minorHAnsi" w:eastAsia="Arial" w:hAnsiTheme="minorHAnsi" w:cstheme="minorHAnsi"/>
          <w:color w:val="444444"/>
          <w:sz w:val="24"/>
          <w:szCs w:val="24"/>
        </w:rPr>
        <w:t>obrigatoriedade, cadastro, prazos, benefícios, dentre outras particularidades.</w:t>
      </w:r>
    </w:p>
    <w:sectPr w:rsidR="006A3DB9" w:rsidRPr="00BF2F1C" w:rsidSect="00BF2F1C">
      <w:pgSz w:w="16858" w:h="23842"/>
      <w:pgMar w:top="590" w:right="2115" w:bottom="1440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B9"/>
    <w:rsid w:val="006A3DB9"/>
    <w:rsid w:val="00B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6E8C"/>
  <w15:docId w15:val="{73F48A35-C957-41A3-AD86-C12AD95B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9"/>
      <w:ind w:left="2113"/>
      <w:outlineLvl w:val="0"/>
    </w:pPr>
    <w:rPr>
      <w:rFonts w:ascii="Calibri" w:eastAsia="Calibri" w:hAnsi="Calibri" w:cs="Calibri"/>
      <w:b/>
      <w:color w:val="444444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2021-02-11T20:40:00Z</dcterms:created>
  <dcterms:modified xsi:type="dcterms:W3CDTF">2021-02-11T20:40:00Z</dcterms:modified>
</cp:coreProperties>
</file>