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499" w:type="pct"/>
        <w:tblInd w:w="-284" w:type="dxa"/>
        <w:tblCellMar>
          <w:left w:w="0" w:type="dxa"/>
          <w:right w:w="0" w:type="dxa"/>
        </w:tblCellMar>
        <w:tblLook w:val="04A0" w:firstRow="1" w:lastRow="0" w:firstColumn="1" w:lastColumn="0" w:noHBand="0" w:noVBand="1"/>
      </w:tblPr>
      <w:tblGrid>
        <w:gridCol w:w="9353"/>
      </w:tblGrid>
      <w:tr w:rsidR="00115B82" w:rsidRPr="00115B82" w14:paraId="75726407" w14:textId="77777777" w:rsidTr="0095714B">
        <w:tc>
          <w:tcPr>
            <w:tcW w:w="9353" w:type="dxa"/>
            <w:tcBorders>
              <w:top w:val="nil"/>
              <w:left w:val="nil"/>
              <w:bottom w:val="nil"/>
              <w:right w:val="nil"/>
            </w:tcBorders>
            <w:hideMark/>
          </w:tcPr>
          <w:tbl>
            <w:tblPr>
              <w:tblW w:w="5000" w:type="pct"/>
              <w:tblCellSpacing w:w="0" w:type="dxa"/>
              <w:tblCellMar>
                <w:left w:w="0" w:type="dxa"/>
                <w:right w:w="0" w:type="dxa"/>
              </w:tblCellMar>
              <w:tblLook w:val="04A0" w:firstRow="1" w:lastRow="0" w:firstColumn="1" w:lastColumn="0" w:noHBand="0" w:noVBand="1"/>
            </w:tblPr>
            <w:tblGrid>
              <w:gridCol w:w="9353"/>
            </w:tblGrid>
            <w:tr w:rsidR="00115B82" w:rsidRPr="00115B82" w14:paraId="0C484A5D" w14:textId="77777777">
              <w:trPr>
                <w:trHeight w:val="270"/>
                <w:tblCellSpacing w:w="0" w:type="dxa"/>
              </w:trPr>
              <w:tc>
                <w:tcPr>
                  <w:tcW w:w="0" w:type="auto"/>
                  <w:shd w:val="clear" w:color="auto" w:fill="EAF4FF"/>
                  <w:vAlign w:val="center"/>
                  <w:hideMark/>
                </w:tcPr>
                <w:p w14:paraId="076D6F02" w14:textId="77777777" w:rsidR="00115B82" w:rsidRPr="00115B82" w:rsidRDefault="00115B82" w:rsidP="00115B82">
                  <w:pPr>
                    <w:spacing w:before="100" w:beforeAutospacing="1" w:after="0" w:line="240" w:lineRule="auto"/>
                    <w:jc w:val="center"/>
                    <w:rPr>
                      <w:rFonts w:ascii="Arial" w:eastAsia="Times New Roman" w:hAnsi="Arial" w:cs="Arial"/>
                      <w:b/>
                      <w:bCs/>
                      <w:sz w:val="20"/>
                      <w:szCs w:val="20"/>
                      <w:lang w:eastAsia="pt-BR"/>
                    </w:rPr>
                  </w:pPr>
                  <w:r w:rsidRPr="00115B82">
                    <w:rPr>
                      <w:rFonts w:ascii="Arial" w:eastAsia="Times New Roman" w:hAnsi="Arial" w:cs="Arial"/>
                      <w:b/>
                      <w:bCs/>
                      <w:sz w:val="20"/>
                      <w:szCs w:val="20"/>
                      <w:lang w:eastAsia="pt-BR"/>
                    </w:rPr>
                    <w:t>SOCIEDADE UNIPESSOAL DE ADVOGADOS</w:t>
                  </w:r>
                  <w:r w:rsidRPr="00115B82">
                    <w:rPr>
                      <w:rFonts w:ascii="Arial" w:eastAsia="Times New Roman" w:hAnsi="Arial" w:cs="Arial"/>
                      <w:b/>
                      <w:bCs/>
                      <w:sz w:val="20"/>
                      <w:szCs w:val="20"/>
                      <w:lang w:eastAsia="pt-BR"/>
                    </w:rPr>
                    <w:br/>
                    <w:t>Opção e Tributação</w:t>
                  </w:r>
                </w:p>
              </w:tc>
            </w:tr>
          </w:tbl>
          <w:p w14:paraId="4C5992D3" w14:textId="77777777"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b/>
                <w:bCs/>
                <w:sz w:val="20"/>
                <w:szCs w:val="20"/>
                <w:lang w:eastAsia="pt-BR"/>
              </w:rPr>
              <w:t>ROTEIRO</w:t>
            </w:r>
          </w:p>
          <w:p w14:paraId="2362759B" w14:textId="11B65445" w:rsidR="00115B82" w:rsidRPr="00115B82" w:rsidRDefault="00115B82" w:rsidP="00115B82">
            <w:pPr>
              <w:spacing w:after="0" w:line="240" w:lineRule="atLeast"/>
              <w:rPr>
                <w:rFonts w:ascii="Calibri" w:eastAsia="Times New Roman" w:hAnsi="Calibri" w:cs="Calibri"/>
                <w:sz w:val="24"/>
                <w:szCs w:val="24"/>
                <w:lang w:eastAsia="pt-BR"/>
              </w:rPr>
            </w:pPr>
            <w:r w:rsidRPr="00115B82">
              <w:rPr>
                <w:rFonts w:ascii="Arial" w:eastAsia="Times New Roman" w:hAnsi="Arial" w:cs="Arial"/>
                <w:b/>
                <w:bCs/>
                <w:color w:val="0000FF"/>
                <w:sz w:val="20"/>
                <w:szCs w:val="20"/>
                <w:u w:val="single"/>
                <w:lang w:eastAsia="pt-BR"/>
              </w:rPr>
              <w:t>1. INTRODUÇÃO</w:t>
            </w:r>
          </w:p>
          <w:p w14:paraId="134683B1" w14:textId="469FDB69" w:rsidR="00115B82" w:rsidRPr="00115B82" w:rsidRDefault="00115B82" w:rsidP="00115B82">
            <w:pPr>
              <w:spacing w:after="0" w:line="240" w:lineRule="atLeast"/>
              <w:rPr>
                <w:rFonts w:ascii="Calibri" w:eastAsia="Times New Roman" w:hAnsi="Calibri" w:cs="Calibri"/>
                <w:sz w:val="24"/>
                <w:szCs w:val="24"/>
                <w:lang w:eastAsia="pt-BR"/>
              </w:rPr>
            </w:pPr>
            <w:r w:rsidRPr="00115B82">
              <w:rPr>
                <w:rFonts w:ascii="Arial" w:eastAsia="Times New Roman" w:hAnsi="Arial" w:cs="Arial"/>
                <w:b/>
                <w:bCs/>
                <w:color w:val="0000FF"/>
                <w:sz w:val="20"/>
                <w:szCs w:val="20"/>
                <w:u w:val="single"/>
                <w:lang w:eastAsia="pt-BR"/>
              </w:rPr>
              <w:t>2. CONCEITO</w:t>
            </w:r>
          </w:p>
          <w:p w14:paraId="1336E29D" w14:textId="68AE9629" w:rsidR="00115B82" w:rsidRPr="00115B82" w:rsidRDefault="00115B82" w:rsidP="00115B82">
            <w:pPr>
              <w:spacing w:after="0" w:line="240" w:lineRule="atLeast"/>
              <w:rPr>
                <w:rFonts w:ascii="Calibri" w:eastAsia="Times New Roman" w:hAnsi="Calibri" w:cs="Calibri"/>
                <w:sz w:val="24"/>
                <w:szCs w:val="24"/>
                <w:lang w:eastAsia="pt-BR"/>
              </w:rPr>
            </w:pPr>
            <w:r w:rsidRPr="00115B82">
              <w:rPr>
                <w:rFonts w:ascii="Arial" w:eastAsia="Times New Roman" w:hAnsi="Arial" w:cs="Arial"/>
                <w:b/>
                <w:bCs/>
                <w:color w:val="0000FF"/>
                <w:sz w:val="20"/>
                <w:szCs w:val="20"/>
                <w:u w:val="single"/>
                <w:lang w:eastAsia="pt-BR"/>
              </w:rPr>
              <w:t>3. OPÇÃO AO SIMPLES NACIONAL</w:t>
            </w:r>
          </w:p>
          <w:p w14:paraId="3BA05530" w14:textId="2A4D445D" w:rsidR="00115B82" w:rsidRPr="00115B82" w:rsidRDefault="00115B82" w:rsidP="00115B82">
            <w:pPr>
              <w:spacing w:after="0" w:line="240" w:lineRule="atLeast"/>
              <w:rPr>
                <w:rFonts w:ascii="Calibri" w:eastAsia="Times New Roman" w:hAnsi="Calibri" w:cs="Calibri"/>
                <w:sz w:val="24"/>
                <w:szCs w:val="24"/>
                <w:lang w:eastAsia="pt-BR"/>
              </w:rPr>
            </w:pPr>
            <w:r w:rsidRPr="00115B82">
              <w:rPr>
                <w:rFonts w:ascii="Arial" w:eastAsia="Times New Roman" w:hAnsi="Arial" w:cs="Arial"/>
                <w:b/>
                <w:bCs/>
                <w:color w:val="0000FF"/>
                <w:sz w:val="20"/>
                <w:szCs w:val="20"/>
                <w:u w:val="single"/>
                <w:lang w:eastAsia="pt-BR"/>
              </w:rPr>
              <w:t>4. TRIBUTAÇÃO</w:t>
            </w:r>
          </w:p>
          <w:p w14:paraId="10F0D61A" w14:textId="33DA0B83" w:rsidR="00115B82" w:rsidRPr="00115B82" w:rsidRDefault="00115B82" w:rsidP="00115B82">
            <w:pPr>
              <w:spacing w:after="100" w:line="240" w:lineRule="atLeast"/>
              <w:rPr>
                <w:rFonts w:ascii="Calibri" w:eastAsia="Times New Roman" w:hAnsi="Calibri" w:cs="Calibri"/>
                <w:sz w:val="24"/>
                <w:szCs w:val="24"/>
                <w:lang w:eastAsia="pt-BR"/>
              </w:rPr>
            </w:pPr>
            <w:r w:rsidRPr="00115B82">
              <w:rPr>
                <w:rFonts w:ascii="Arial" w:eastAsia="Times New Roman" w:hAnsi="Arial" w:cs="Arial"/>
                <w:b/>
                <w:bCs/>
                <w:color w:val="0000FF"/>
                <w:sz w:val="20"/>
                <w:szCs w:val="20"/>
                <w:u w:val="single"/>
                <w:lang w:eastAsia="pt-BR"/>
              </w:rPr>
              <w:t>5. REGISTRO DA SOCIEDADE UNIPESSOAL</w:t>
            </w:r>
          </w:p>
          <w:p w14:paraId="025257C0" w14:textId="77777777"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bookmarkStart w:id="0" w:name="1."/>
            <w:r w:rsidRPr="00115B82">
              <w:rPr>
                <w:rFonts w:ascii="Arial" w:eastAsia="Times New Roman" w:hAnsi="Arial" w:cs="Arial"/>
                <w:b/>
                <w:bCs/>
                <w:sz w:val="20"/>
                <w:szCs w:val="20"/>
                <w:lang w:eastAsia="pt-BR"/>
              </w:rPr>
              <w:t>1.</w:t>
            </w:r>
            <w:bookmarkEnd w:id="0"/>
            <w:r w:rsidRPr="00115B82">
              <w:rPr>
                <w:rFonts w:ascii="Arial" w:eastAsia="Times New Roman" w:hAnsi="Arial" w:cs="Arial"/>
                <w:b/>
                <w:bCs/>
                <w:sz w:val="20"/>
                <w:szCs w:val="20"/>
                <w:lang w:eastAsia="pt-BR"/>
              </w:rPr>
              <w:t> INTRODUÇÃO</w:t>
            </w:r>
          </w:p>
          <w:p w14:paraId="2BFD0BFC" w14:textId="6B477AD7"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t>Nesta matéria, serão abordados os aspectos pertinentes à inclusão da Sociedade Unipessoal de Advogados no Simples Nacional, levando-se em consideração a </w:t>
            </w:r>
            <w:r w:rsidRPr="00115B82">
              <w:rPr>
                <w:rFonts w:ascii="Arial" w:eastAsia="Times New Roman" w:hAnsi="Arial" w:cs="Arial"/>
                <w:color w:val="0000FF"/>
                <w:sz w:val="20"/>
                <w:szCs w:val="20"/>
                <w:u w:val="single"/>
                <w:lang w:eastAsia="pt-BR"/>
              </w:rPr>
              <w:t>Lei Complementar n° 123/2006</w:t>
            </w:r>
            <w:r w:rsidRPr="00115B82">
              <w:rPr>
                <w:rFonts w:ascii="Arial" w:eastAsia="Times New Roman" w:hAnsi="Arial" w:cs="Arial"/>
                <w:sz w:val="20"/>
                <w:szCs w:val="20"/>
                <w:lang w:eastAsia="pt-BR"/>
              </w:rPr>
              <w:t> e a </w:t>
            </w:r>
            <w:r w:rsidRPr="00115B82">
              <w:rPr>
                <w:rFonts w:ascii="Arial" w:eastAsia="Times New Roman" w:hAnsi="Arial" w:cs="Arial"/>
                <w:color w:val="0000FF"/>
                <w:sz w:val="20"/>
                <w:szCs w:val="20"/>
                <w:u w:val="single"/>
                <w:lang w:eastAsia="pt-BR"/>
              </w:rPr>
              <w:t>Resolução CGSN n° 94/2011</w:t>
            </w:r>
            <w:r w:rsidRPr="00115B82">
              <w:rPr>
                <w:rFonts w:ascii="Arial" w:eastAsia="Times New Roman" w:hAnsi="Arial" w:cs="Arial"/>
                <w:sz w:val="20"/>
                <w:szCs w:val="20"/>
                <w:lang w:eastAsia="pt-BR"/>
              </w:rPr>
              <w:t>.</w:t>
            </w:r>
          </w:p>
          <w:p w14:paraId="25C194F9" w14:textId="77777777"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bookmarkStart w:id="1" w:name="2."/>
            <w:r w:rsidRPr="00115B82">
              <w:rPr>
                <w:rFonts w:ascii="Arial" w:eastAsia="Times New Roman" w:hAnsi="Arial" w:cs="Arial"/>
                <w:b/>
                <w:bCs/>
                <w:sz w:val="20"/>
                <w:szCs w:val="20"/>
                <w:lang w:eastAsia="pt-BR"/>
              </w:rPr>
              <w:t>2.</w:t>
            </w:r>
            <w:bookmarkEnd w:id="1"/>
            <w:r w:rsidRPr="00115B82">
              <w:rPr>
                <w:rFonts w:ascii="Arial" w:eastAsia="Times New Roman" w:hAnsi="Arial" w:cs="Arial"/>
                <w:b/>
                <w:bCs/>
                <w:sz w:val="20"/>
                <w:szCs w:val="20"/>
                <w:lang w:eastAsia="pt-BR"/>
              </w:rPr>
              <w:t> CONCEITO</w:t>
            </w:r>
          </w:p>
          <w:p w14:paraId="0E7CD772" w14:textId="1D606E09"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t>A Sociedade Unipessoal de Advogados é uma modalidade de natureza jurídica criada pela </w:t>
            </w:r>
            <w:r w:rsidRPr="00115B82">
              <w:rPr>
                <w:rFonts w:ascii="Arial" w:eastAsia="Times New Roman" w:hAnsi="Arial" w:cs="Arial"/>
                <w:color w:val="0000FF"/>
                <w:sz w:val="20"/>
                <w:szCs w:val="20"/>
                <w:u w:val="single"/>
                <w:lang w:eastAsia="pt-BR"/>
              </w:rPr>
              <w:t>Lei n° 13.247/2016</w:t>
            </w:r>
            <w:r w:rsidRPr="00115B82">
              <w:rPr>
                <w:rFonts w:ascii="Arial" w:eastAsia="Times New Roman" w:hAnsi="Arial" w:cs="Arial"/>
                <w:sz w:val="20"/>
                <w:szCs w:val="20"/>
                <w:lang w:eastAsia="pt-BR"/>
              </w:rPr>
              <w:t>, sendo publicada no Diário Oficial da União de 13 de janeiro 2016, alterando o </w:t>
            </w:r>
            <w:r w:rsidRPr="00115B82">
              <w:rPr>
                <w:rFonts w:ascii="Arial" w:eastAsia="Times New Roman" w:hAnsi="Arial" w:cs="Arial"/>
                <w:color w:val="0000FF"/>
                <w:sz w:val="20"/>
                <w:szCs w:val="20"/>
                <w:u w:val="single"/>
                <w:lang w:eastAsia="pt-BR"/>
              </w:rPr>
              <w:t>artigo 15</w:t>
            </w:r>
            <w:r w:rsidRPr="00115B82">
              <w:rPr>
                <w:rFonts w:ascii="Arial" w:eastAsia="Times New Roman" w:hAnsi="Arial" w:cs="Arial"/>
                <w:sz w:val="20"/>
                <w:szCs w:val="20"/>
                <w:lang w:eastAsia="pt-BR"/>
              </w:rPr>
              <w:t> da </w:t>
            </w:r>
            <w:r w:rsidRPr="00115B82">
              <w:rPr>
                <w:rFonts w:ascii="Arial" w:eastAsia="Times New Roman" w:hAnsi="Arial" w:cs="Arial"/>
                <w:color w:val="0000FF"/>
                <w:sz w:val="20"/>
                <w:szCs w:val="20"/>
                <w:u w:val="single"/>
                <w:lang w:eastAsia="pt-BR"/>
              </w:rPr>
              <w:t>Lei n° 8.906/1994</w:t>
            </w:r>
            <w:r w:rsidRPr="00115B82">
              <w:rPr>
                <w:rFonts w:ascii="Arial" w:eastAsia="Times New Roman" w:hAnsi="Arial" w:cs="Arial"/>
                <w:sz w:val="20"/>
                <w:szCs w:val="20"/>
                <w:lang w:eastAsia="pt-BR"/>
              </w:rPr>
              <w:t> (Estatuto da Advocacia).</w:t>
            </w:r>
          </w:p>
          <w:p w14:paraId="6661F2B9" w14:textId="0667AF99"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t>A </w:t>
            </w:r>
            <w:r w:rsidRPr="00115B82">
              <w:rPr>
                <w:rFonts w:ascii="Arial" w:eastAsia="Times New Roman" w:hAnsi="Arial" w:cs="Arial"/>
                <w:color w:val="0000FF"/>
                <w:sz w:val="20"/>
                <w:szCs w:val="20"/>
                <w:u w:val="single"/>
                <w:lang w:eastAsia="pt-BR"/>
              </w:rPr>
              <w:t>Lei n° 8.906/1994</w:t>
            </w:r>
            <w:r w:rsidRPr="00115B82">
              <w:rPr>
                <w:rFonts w:ascii="Arial" w:eastAsia="Times New Roman" w:hAnsi="Arial" w:cs="Arial"/>
                <w:sz w:val="20"/>
                <w:szCs w:val="20"/>
                <w:lang w:eastAsia="pt-BR"/>
              </w:rPr>
              <w:t>, disciplina a forma de constituição de pessoa jurídica para desenvolvimento da atividade de advocacia.</w:t>
            </w:r>
          </w:p>
          <w:p w14:paraId="56A999E4" w14:textId="77777777"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t>Onde, quando criada apenas trazia a possibilidade de Sociedade Simples (aquela formada de duas ou mais pessoas com a mesma capacidade intelectual), para execução dos serviços advocatícios. </w:t>
            </w:r>
          </w:p>
          <w:p w14:paraId="4381B53E" w14:textId="22AE9C60"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t>Entretanto com a publicação da </w:t>
            </w:r>
            <w:r w:rsidRPr="00115B82">
              <w:rPr>
                <w:rFonts w:ascii="Arial" w:eastAsia="Times New Roman" w:hAnsi="Arial" w:cs="Arial"/>
                <w:color w:val="0000FF"/>
                <w:sz w:val="20"/>
                <w:szCs w:val="20"/>
                <w:u w:val="single"/>
                <w:lang w:eastAsia="pt-BR"/>
              </w:rPr>
              <w:t>Lei n° 13.247/2016</w:t>
            </w:r>
            <w:r w:rsidRPr="00115B82">
              <w:rPr>
                <w:rFonts w:ascii="Arial" w:eastAsia="Times New Roman" w:hAnsi="Arial" w:cs="Arial"/>
                <w:sz w:val="20"/>
                <w:szCs w:val="20"/>
                <w:lang w:eastAsia="pt-BR"/>
              </w:rPr>
              <w:t> em 13.01.2016, a pessoa física (advogado) poderá constituir empresa com a finalidade execução dos serviços de advocacia de forma unipessoal. Como pode-se observar, na determinada Lei:</w:t>
            </w:r>
          </w:p>
          <w:tbl>
            <w:tblPr>
              <w:tblW w:w="4750" w:type="pct"/>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8870"/>
            </w:tblGrid>
            <w:tr w:rsidR="00115B82" w:rsidRPr="00115B82" w14:paraId="51671E8F" w14:textId="77777777">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212D733" w14:textId="77777777" w:rsidR="00115B82" w:rsidRPr="00115B82" w:rsidRDefault="00115B82" w:rsidP="00115B82">
                  <w:pPr>
                    <w:spacing w:after="0" w:line="240" w:lineRule="auto"/>
                    <w:ind w:left="75" w:right="75"/>
                    <w:rPr>
                      <w:rFonts w:ascii="Times New Roman" w:eastAsia="Times New Roman" w:hAnsi="Times New Roman" w:cs="Times New Roman"/>
                      <w:sz w:val="24"/>
                      <w:szCs w:val="24"/>
                      <w:lang w:eastAsia="pt-BR"/>
                    </w:rPr>
                  </w:pPr>
                  <w:r w:rsidRPr="00115B82">
                    <w:rPr>
                      <w:rFonts w:ascii="Arial" w:eastAsia="Times New Roman" w:hAnsi="Arial" w:cs="Arial"/>
                      <w:b/>
                      <w:bCs/>
                      <w:i/>
                      <w:iCs/>
                      <w:sz w:val="18"/>
                      <w:szCs w:val="18"/>
                      <w:lang w:eastAsia="pt-BR"/>
                    </w:rPr>
                    <w:t>Art. 15. </w:t>
                  </w:r>
                  <w:r w:rsidRPr="00115B82">
                    <w:rPr>
                      <w:rFonts w:ascii="Arial" w:eastAsia="Times New Roman" w:hAnsi="Arial" w:cs="Arial"/>
                      <w:i/>
                      <w:iCs/>
                      <w:sz w:val="18"/>
                      <w:szCs w:val="18"/>
                      <w:lang w:eastAsia="pt-BR"/>
                    </w:rPr>
                    <w:t>Os advogados podem reunir-se em sociedade simples de prestação de serviços de advocacia ou constituir sociedade unipessoal de advocacia, na forma disciplinada nesta Lei e no regulamento geral.</w:t>
                  </w:r>
                </w:p>
                <w:p w14:paraId="07D6AAE7" w14:textId="77777777" w:rsidR="00115B82" w:rsidRPr="00115B82" w:rsidRDefault="00115B82" w:rsidP="00115B82">
                  <w:pPr>
                    <w:spacing w:after="0" w:line="240" w:lineRule="auto"/>
                    <w:ind w:left="75" w:right="75"/>
                    <w:rPr>
                      <w:rFonts w:ascii="Times New Roman" w:eastAsia="Times New Roman" w:hAnsi="Times New Roman" w:cs="Times New Roman"/>
                      <w:sz w:val="24"/>
                      <w:szCs w:val="24"/>
                      <w:lang w:eastAsia="pt-BR"/>
                    </w:rPr>
                  </w:pPr>
                  <w:r w:rsidRPr="00115B82">
                    <w:rPr>
                      <w:rFonts w:ascii="Arial" w:eastAsia="Times New Roman" w:hAnsi="Arial" w:cs="Arial"/>
                      <w:b/>
                      <w:bCs/>
                      <w:i/>
                      <w:iCs/>
                      <w:sz w:val="18"/>
                      <w:szCs w:val="18"/>
                      <w:lang w:eastAsia="pt-BR"/>
                    </w:rPr>
                    <w:t>§ 1°</w:t>
                  </w:r>
                  <w:r w:rsidRPr="00115B82">
                    <w:rPr>
                      <w:rFonts w:ascii="Arial" w:eastAsia="Times New Roman" w:hAnsi="Arial" w:cs="Arial"/>
                      <w:i/>
                      <w:iCs/>
                      <w:sz w:val="18"/>
                      <w:szCs w:val="18"/>
                      <w:lang w:eastAsia="pt-BR"/>
                    </w:rPr>
                    <w:t> A sociedade de advogados e a sociedade unipessoal de advocacia adquirem personalidade jurídica com o registro aprovado dos seus atos constitutivos no Conselho Seccional da OAB em cuja base territorial tiver sede</w:t>
                  </w:r>
                </w:p>
              </w:tc>
            </w:tr>
          </w:tbl>
          <w:p w14:paraId="7C0C2817" w14:textId="3C3EA35F"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t>Está modalidade de natureza jurídica foi introduzida na </w:t>
            </w:r>
            <w:r w:rsidRPr="00115B82">
              <w:rPr>
                <w:rFonts w:ascii="Arial" w:eastAsia="Times New Roman" w:hAnsi="Arial" w:cs="Arial"/>
                <w:color w:val="0000FF"/>
                <w:sz w:val="20"/>
                <w:szCs w:val="20"/>
                <w:u w:val="single"/>
                <w:lang w:eastAsia="pt-BR"/>
              </w:rPr>
              <w:t>Instrução Normativa RFB 1.634/2016</w:t>
            </w:r>
            <w:r w:rsidRPr="00115B82">
              <w:rPr>
                <w:rFonts w:ascii="Arial" w:eastAsia="Times New Roman" w:hAnsi="Arial" w:cs="Arial"/>
                <w:sz w:val="20"/>
                <w:szCs w:val="20"/>
                <w:lang w:eastAsia="pt-BR"/>
              </w:rPr>
              <w:t> (Cadastro Nacional da Pessoa Jurídica - CNPJ), trazendo assim, o código de natureza 232-1.</w:t>
            </w:r>
          </w:p>
          <w:p w14:paraId="796AF9E1" w14:textId="77777777"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bookmarkStart w:id="2" w:name="3."/>
            <w:r w:rsidRPr="00115B82">
              <w:rPr>
                <w:rFonts w:ascii="Arial" w:eastAsia="Times New Roman" w:hAnsi="Arial" w:cs="Arial"/>
                <w:b/>
                <w:bCs/>
                <w:sz w:val="20"/>
                <w:szCs w:val="20"/>
                <w:lang w:eastAsia="pt-BR"/>
              </w:rPr>
              <w:t>3.</w:t>
            </w:r>
            <w:bookmarkEnd w:id="2"/>
            <w:r w:rsidRPr="00115B82">
              <w:rPr>
                <w:rFonts w:ascii="Arial" w:eastAsia="Times New Roman" w:hAnsi="Arial" w:cs="Arial"/>
                <w:b/>
                <w:bCs/>
                <w:sz w:val="20"/>
                <w:szCs w:val="20"/>
                <w:lang w:eastAsia="pt-BR"/>
              </w:rPr>
              <w:t> OPÇÃO AO SIMPLES NACIONAL</w:t>
            </w:r>
          </w:p>
          <w:p w14:paraId="180132F0" w14:textId="77777777"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t>Muitos são os questionamentos quanto à opção desta modalidade (Sociedade Unipessoal de Advocacia) no Simples Nacional, sendo assim analisados os dispositivos encontrados cabe trazer as seguintes informações a seguir.</w:t>
            </w:r>
          </w:p>
          <w:p w14:paraId="010BE0F5" w14:textId="70F263F0"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t>Analisada a </w:t>
            </w:r>
            <w:r w:rsidRPr="00115B82">
              <w:rPr>
                <w:rFonts w:ascii="Arial" w:eastAsia="Times New Roman" w:hAnsi="Arial" w:cs="Arial"/>
                <w:color w:val="0000FF"/>
                <w:sz w:val="20"/>
                <w:szCs w:val="20"/>
                <w:u w:val="single"/>
                <w:lang w:eastAsia="pt-BR"/>
              </w:rPr>
              <w:t>Lei Complementar n° 123/2006</w:t>
            </w:r>
            <w:r w:rsidRPr="00115B82">
              <w:rPr>
                <w:rFonts w:ascii="Arial" w:eastAsia="Times New Roman" w:hAnsi="Arial" w:cs="Arial"/>
                <w:sz w:val="20"/>
                <w:szCs w:val="20"/>
                <w:lang w:eastAsia="pt-BR"/>
              </w:rPr>
              <w:t>, em seu </w:t>
            </w:r>
            <w:r w:rsidRPr="00115B82">
              <w:rPr>
                <w:rFonts w:ascii="Arial" w:eastAsia="Times New Roman" w:hAnsi="Arial" w:cs="Arial"/>
                <w:color w:val="0000FF"/>
                <w:sz w:val="20"/>
                <w:szCs w:val="20"/>
                <w:u w:val="single"/>
                <w:lang w:eastAsia="pt-BR"/>
              </w:rPr>
              <w:t>artigo 3°</w:t>
            </w:r>
            <w:r w:rsidRPr="00115B82">
              <w:rPr>
                <w:rFonts w:ascii="Arial" w:eastAsia="Times New Roman" w:hAnsi="Arial" w:cs="Arial"/>
                <w:sz w:val="20"/>
                <w:szCs w:val="20"/>
                <w:lang w:eastAsia="pt-BR"/>
              </w:rPr>
              <w:t>, dispõe que:</w:t>
            </w:r>
          </w:p>
          <w:tbl>
            <w:tblPr>
              <w:tblW w:w="4750" w:type="pct"/>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8870"/>
            </w:tblGrid>
            <w:tr w:rsidR="00115B82" w:rsidRPr="00115B82" w14:paraId="0611DE6D" w14:textId="77777777">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FC1BA38" w14:textId="4817D054" w:rsidR="00115B82" w:rsidRPr="00115B82" w:rsidRDefault="00115B82" w:rsidP="00115B82">
                  <w:pPr>
                    <w:spacing w:before="100" w:beforeAutospacing="1" w:after="100" w:afterAutospacing="1" w:line="240" w:lineRule="auto"/>
                    <w:ind w:left="75" w:right="75"/>
                    <w:rPr>
                      <w:rFonts w:ascii="Times New Roman" w:eastAsia="Times New Roman" w:hAnsi="Times New Roman" w:cs="Times New Roman"/>
                      <w:sz w:val="24"/>
                      <w:szCs w:val="24"/>
                      <w:lang w:eastAsia="pt-BR"/>
                    </w:rPr>
                  </w:pPr>
                  <w:r w:rsidRPr="00115B82">
                    <w:rPr>
                      <w:rFonts w:ascii="Arial" w:eastAsia="Times New Roman" w:hAnsi="Arial" w:cs="Arial"/>
                      <w:sz w:val="18"/>
                      <w:szCs w:val="18"/>
                      <w:lang w:eastAsia="pt-BR"/>
                    </w:rPr>
                    <w:t>... serão consideradas ME (Microempresas) e EPP (Empresas de Pequeno Porte), a sociedade empresária, a sociedade simples, a empresa individual de responsabilidade limitada e o empresário a que se refere o </w:t>
                  </w:r>
                  <w:r w:rsidRPr="00115B82">
                    <w:rPr>
                      <w:rFonts w:ascii="Arial" w:eastAsia="Times New Roman" w:hAnsi="Arial" w:cs="Arial"/>
                      <w:color w:val="0000FF"/>
                      <w:sz w:val="18"/>
                      <w:szCs w:val="18"/>
                      <w:u w:val="single"/>
                      <w:lang w:eastAsia="pt-BR"/>
                    </w:rPr>
                    <w:t>art. 966</w:t>
                  </w:r>
                  <w:r w:rsidRPr="00115B82">
                    <w:rPr>
                      <w:rFonts w:ascii="Arial" w:eastAsia="Times New Roman" w:hAnsi="Arial" w:cs="Arial"/>
                      <w:sz w:val="18"/>
                      <w:szCs w:val="18"/>
                      <w:lang w:eastAsia="pt-BR"/>
                    </w:rPr>
                    <w:t> da </w:t>
                  </w:r>
                  <w:r w:rsidRPr="00115B82">
                    <w:rPr>
                      <w:rFonts w:ascii="Arial" w:eastAsia="Times New Roman" w:hAnsi="Arial" w:cs="Arial"/>
                      <w:color w:val="0000FF"/>
                      <w:sz w:val="18"/>
                      <w:szCs w:val="18"/>
                      <w:u w:val="single"/>
                      <w:lang w:eastAsia="pt-BR"/>
                    </w:rPr>
                    <w:t>Lei n° 10.406, de 10 de janeiro de 2002</w:t>
                  </w:r>
                  <w:r w:rsidRPr="00115B82">
                    <w:rPr>
                      <w:rFonts w:ascii="Arial" w:eastAsia="Times New Roman" w:hAnsi="Arial" w:cs="Arial"/>
                      <w:sz w:val="18"/>
                      <w:szCs w:val="18"/>
                      <w:lang w:eastAsia="pt-BR"/>
                    </w:rPr>
                    <w:t> (Código Civil), devidamente registrados no Registro de Empresas Mercantis ou no Registro Civil de Pessoas Jurídicas.</w:t>
                  </w:r>
                </w:p>
              </w:tc>
            </w:tr>
          </w:tbl>
          <w:p w14:paraId="768E9FA3" w14:textId="77777777"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lastRenderedPageBreak/>
              <w:t>Obste que, em nenhum momento a Lei Complementar cita a Sociedade Unipessoal de Advogados, apenas faz menção a Sociedade Simples, que neste caso poderia ser de serviços advocatícios.</w:t>
            </w:r>
          </w:p>
          <w:p w14:paraId="588F1837" w14:textId="7BA1578D"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t>Já a </w:t>
            </w:r>
            <w:r w:rsidRPr="00115B82">
              <w:rPr>
                <w:rFonts w:ascii="Arial" w:eastAsia="Times New Roman" w:hAnsi="Arial" w:cs="Arial"/>
                <w:color w:val="0000FF"/>
                <w:sz w:val="20"/>
                <w:szCs w:val="20"/>
                <w:u w:val="single"/>
                <w:lang w:eastAsia="pt-BR"/>
              </w:rPr>
              <w:t>Resolução CGSN n° 94/2011</w:t>
            </w:r>
            <w:r w:rsidRPr="00115B82">
              <w:rPr>
                <w:rFonts w:ascii="Arial" w:eastAsia="Times New Roman" w:hAnsi="Arial" w:cs="Arial"/>
                <w:sz w:val="20"/>
                <w:szCs w:val="20"/>
                <w:lang w:eastAsia="pt-BR"/>
              </w:rPr>
              <w:t>, </w:t>
            </w:r>
            <w:r w:rsidRPr="00115B82">
              <w:rPr>
                <w:rFonts w:ascii="Arial" w:eastAsia="Times New Roman" w:hAnsi="Arial" w:cs="Arial"/>
                <w:color w:val="0000FF"/>
                <w:sz w:val="20"/>
                <w:szCs w:val="20"/>
                <w:u w:val="single"/>
                <w:lang w:eastAsia="pt-BR"/>
              </w:rPr>
              <w:t>artigo 2°</w:t>
            </w:r>
            <w:r w:rsidRPr="00115B82">
              <w:rPr>
                <w:rFonts w:ascii="Arial" w:eastAsia="Times New Roman" w:hAnsi="Arial" w:cs="Arial"/>
                <w:sz w:val="20"/>
                <w:szCs w:val="20"/>
                <w:lang w:eastAsia="pt-BR"/>
              </w:rPr>
              <w:t>, traz que:</w:t>
            </w:r>
          </w:p>
          <w:tbl>
            <w:tblPr>
              <w:tblW w:w="4750" w:type="pct"/>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8870"/>
            </w:tblGrid>
            <w:tr w:rsidR="00115B82" w:rsidRPr="00115B82" w14:paraId="28FDF534" w14:textId="77777777">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4A0D452" w14:textId="3C117BD6" w:rsidR="00115B82" w:rsidRPr="00115B82" w:rsidRDefault="00115B82" w:rsidP="00115B82">
                  <w:pPr>
                    <w:spacing w:before="100" w:beforeAutospacing="1" w:after="100" w:afterAutospacing="1" w:line="240" w:lineRule="auto"/>
                    <w:ind w:left="75" w:right="75"/>
                    <w:rPr>
                      <w:rFonts w:ascii="Times New Roman" w:eastAsia="Times New Roman" w:hAnsi="Times New Roman" w:cs="Times New Roman"/>
                      <w:sz w:val="24"/>
                      <w:szCs w:val="24"/>
                      <w:lang w:eastAsia="pt-BR"/>
                    </w:rPr>
                  </w:pPr>
                  <w:r w:rsidRPr="00115B82">
                    <w:rPr>
                      <w:rFonts w:ascii="Arial" w:eastAsia="Times New Roman" w:hAnsi="Arial" w:cs="Arial"/>
                      <w:sz w:val="18"/>
                      <w:szCs w:val="18"/>
                      <w:lang w:eastAsia="pt-BR"/>
                    </w:rPr>
                    <w:t>... considera-se microempresa (ME) ou empresa de pequeno porte (EPP) a sociedade empresária, a sociedade simples, a empresa individual de responsabilidade limitada ou o empresário a que se refere o </w:t>
                  </w:r>
                  <w:r w:rsidRPr="00115B82">
                    <w:rPr>
                      <w:rFonts w:ascii="Arial" w:eastAsia="Times New Roman" w:hAnsi="Arial" w:cs="Arial"/>
                      <w:color w:val="0000FF"/>
                      <w:sz w:val="18"/>
                      <w:szCs w:val="18"/>
                      <w:u w:val="single"/>
                      <w:lang w:eastAsia="pt-BR"/>
                    </w:rPr>
                    <w:t>art. 966</w:t>
                  </w:r>
                  <w:r w:rsidRPr="00115B82">
                    <w:rPr>
                      <w:rFonts w:ascii="Arial" w:eastAsia="Times New Roman" w:hAnsi="Arial" w:cs="Arial"/>
                      <w:sz w:val="18"/>
                      <w:szCs w:val="18"/>
                      <w:lang w:eastAsia="pt-BR"/>
                    </w:rPr>
                    <w:t> da </w:t>
                  </w:r>
                  <w:r w:rsidRPr="00115B82">
                    <w:rPr>
                      <w:rFonts w:ascii="Arial" w:eastAsia="Times New Roman" w:hAnsi="Arial" w:cs="Arial"/>
                      <w:color w:val="0000FF"/>
                      <w:sz w:val="18"/>
                      <w:szCs w:val="18"/>
                      <w:u w:val="single"/>
                      <w:lang w:eastAsia="pt-BR"/>
                    </w:rPr>
                    <w:t>Lei n° 10.406, de 10 de janeiro de 2002</w:t>
                  </w:r>
                  <w:r w:rsidRPr="00115B82">
                    <w:rPr>
                      <w:rFonts w:ascii="Arial" w:eastAsia="Times New Roman" w:hAnsi="Arial" w:cs="Arial"/>
                      <w:sz w:val="18"/>
                      <w:szCs w:val="18"/>
                      <w:lang w:eastAsia="pt-BR"/>
                    </w:rPr>
                    <w:t>, devidamente registrados no Registro de Empresas Mercantis ou no Registro Civil de Pessoas Jurídicas, conforme o caso, e a sociedade de advogados registrada na forma do </w:t>
                  </w:r>
                  <w:r w:rsidRPr="00115B82">
                    <w:rPr>
                      <w:rFonts w:ascii="Arial" w:eastAsia="Times New Roman" w:hAnsi="Arial" w:cs="Arial"/>
                      <w:color w:val="0000FF"/>
                      <w:sz w:val="18"/>
                      <w:szCs w:val="18"/>
                      <w:u w:val="single"/>
                      <w:lang w:eastAsia="pt-BR"/>
                    </w:rPr>
                    <w:t>art. 15</w:t>
                  </w:r>
                  <w:r w:rsidRPr="00115B82">
                    <w:rPr>
                      <w:rFonts w:ascii="Arial" w:eastAsia="Times New Roman" w:hAnsi="Arial" w:cs="Arial"/>
                      <w:sz w:val="18"/>
                      <w:szCs w:val="18"/>
                      <w:lang w:eastAsia="pt-BR"/>
                    </w:rPr>
                    <w:t> da </w:t>
                  </w:r>
                  <w:r w:rsidRPr="00115B82">
                    <w:rPr>
                      <w:rFonts w:ascii="Arial" w:eastAsia="Times New Roman" w:hAnsi="Arial" w:cs="Arial"/>
                      <w:color w:val="0000FF"/>
                      <w:sz w:val="18"/>
                      <w:szCs w:val="18"/>
                      <w:u w:val="single"/>
                      <w:lang w:eastAsia="pt-BR"/>
                    </w:rPr>
                    <w:t>Lei n° 8.906, de 4 de julho de 1994</w:t>
                  </w:r>
                  <w:r w:rsidRPr="00115B82">
                    <w:rPr>
                      <w:rFonts w:ascii="Arial" w:eastAsia="Times New Roman" w:hAnsi="Arial" w:cs="Arial"/>
                      <w:sz w:val="18"/>
                      <w:szCs w:val="18"/>
                      <w:lang w:eastAsia="pt-BR"/>
                    </w:rPr>
                    <w:t>.</w:t>
                  </w:r>
                </w:p>
              </w:tc>
            </w:tr>
          </w:tbl>
          <w:p w14:paraId="31B49433" w14:textId="77777777"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t>Cumpre assim destacar, a decisão proferida pela 5ª Vara Federal do Distrito Federal, nos autos da ação ordinária n° 0014844-13.2016.4.01.3400, que concedeu a tutela antecipada em favor da Ordem dos Advogados do Brasil - OAB, em âmbito nacional, com a finalidade de permitir que todas as sociedades unipessoais de advocacia devidamente registradas optem pelo Simples Nacional. </w:t>
            </w:r>
          </w:p>
          <w:tbl>
            <w:tblPr>
              <w:tblW w:w="4750" w:type="pct"/>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8870"/>
            </w:tblGrid>
            <w:tr w:rsidR="00115B82" w:rsidRPr="00115B82" w14:paraId="1BF3DBC0" w14:textId="77777777">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7A626DD" w14:textId="77777777" w:rsidR="00115B82" w:rsidRPr="00115B82" w:rsidRDefault="00115B82" w:rsidP="00115B82">
                  <w:pPr>
                    <w:spacing w:after="0" w:line="240" w:lineRule="auto"/>
                    <w:ind w:left="75" w:right="75"/>
                    <w:jc w:val="center"/>
                    <w:rPr>
                      <w:rFonts w:ascii="Times New Roman" w:eastAsia="Times New Roman" w:hAnsi="Times New Roman" w:cs="Times New Roman"/>
                      <w:sz w:val="24"/>
                      <w:szCs w:val="24"/>
                      <w:lang w:eastAsia="pt-BR"/>
                    </w:rPr>
                  </w:pPr>
                  <w:r w:rsidRPr="00115B82">
                    <w:rPr>
                      <w:rFonts w:ascii="Arial" w:eastAsia="Times New Roman" w:hAnsi="Arial" w:cs="Arial"/>
                      <w:b/>
                      <w:bCs/>
                      <w:sz w:val="18"/>
                      <w:szCs w:val="18"/>
                      <w:lang w:eastAsia="pt-BR"/>
                    </w:rPr>
                    <w:t>Processo N° 0005447-27.2016.4.01.3400 - 5ª VARA FEDERAL</w:t>
                  </w:r>
                </w:p>
                <w:p w14:paraId="3C2DF149" w14:textId="77777777" w:rsidR="00115B82" w:rsidRPr="00115B82" w:rsidRDefault="00115B82" w:rsidP="00115B82">
                  <w:pPr>
                    <w:spacing w:after="0" w:line="240" w:lineRule="auto"/>
                    <w:ind w:left="75" w:right="75"/>
                    <w:rPr>
                      <w:rFonts w:ascii="Times New Roman" w:eastAsia="Times New Roman" w:hAnsi="Times New Roman" w:cs="Times New Roman"/>
                      <w:sz w:val="24"/>
                      <w:szCs w:val="24"/>
                      <w:lang w:eastAsia="pt-BR"/>
                    </w:rPr>
                  </w:pPr>
                  <w:r w:rsidRPr="00115B82">
                    <w:rPr>
                      <w:rFonts w:ascii="Arial" w:eastAsia="Times New Roman" w:hAnsi="Arial" w:cs="Arial"/>
                      <w:sz w:val="18"/>
                      <w:szCs w:val="18"/>
                      <w:lang w:eastAsia="pt-BR"/>
                    </w:rPr>
                    <w:t>N° de registro e-CVD 00064.2016.00053400.2.00603/00128</w:t>
                  </w:r>
                </w:p>
                <w:p w14:paraId="498E40E1" w14:textId="77777777" w:rsidR="00115B82" w:rsidRPr="00115B82" w:rsidRDefault="00115B82" w:rsidP="00115B82">
                  <w:pPr>
                    <w:spacing w:after="0" w:line="240" w:lineRule="auto"/>
                    <w:ind w:left="75" w:right="75"/>
                    <w:rPr>
                      <w:rFonts w:ascii="Times New Roman" w:eastAsia="Times New Roman" w:hAnsi="Times New Roman" w:cs="Times New Roman"/>
                      <w:sz w:val="24"/>
                      <w:szCs w:val="24"/>
                      <w:lang w:eastAsia="pt-BR"/>
                    </w:rPr>
                  </w:pPr>
                  <w:r w:rsidRPr="00115B82">
                    <w:rPr>
                      <w:rFonts w:ascii="Arial" w:eastAsia="Times New Roman" w:hAnsi="Arial" w:cs="Arial"/>
                      <w:sz w:val="18"/>
                      <w:szCs w:val="18"/>
                      <w:lang w:eastAsia="pt-BR"/>
                    </w:rPr>
                    <w:t>PROCESSO N° 5447-27.2016.4.01.3400</w:t>
                  </w:r>
                </w:p>
                <w:p w14:paraId="715BDCE4" w14:textId="77777777" w:rsidR="00115B82" w:rsidRPr="00115B82" w:rsidRDefault="00115B82" w:rsidP="00115B82">
                  <w:pPr>
                    <w:spacing w:after="0" w:line="240" w:lineRule="auto"/>
                    <w:ind w:left="75" w:right="75"/>
                    <w:rPr>
                      <w:rFonts w:ascii="Times New Roman" w:eastAsia="Times New Roman" w:hAnsi="Times New Roman" w:cs="Times New Roman"/>
                      <w:sz w:val="24"/>
                      <w:szCs w:val="24"/>
                      <w:lang w:eastAsia="pt-BR"/>
                    </w:rPr>
                  </w:pPr>
                  <w:r w:rsidRPr="00115B82">
                    <w:rPr>
                      <w:rFonts w:ascii="Arial" w:eastAsia="Times New Roman" w:hAnsi="Arial" w:cs="Arial"/>
                      <w:sz w:val="18"/>
                      <w:szCs w:val="18"/>
                      <w:lang w:eastAsia="pt-BR"/>
                    </w:rPr>
                    <w:t>CLASSE 1.100 - AÇÃO ORDINÁRIA / TRIBUTÁRIA</w:t>
                  </w:r>
                </w:p>
                <w:p w14:paraId="6C35F8E8" w14:textId="77777777" w:rsidR="00115B82" w:rsidRPr="00115B82" w:rsidRDefault="00115B82" w:rsidP="00115B82">
                  <w:pPr>
                    <w:spacing w:after="0" w:line="240" w:lineRule="auto"/>
                    <w:ind w:left="75" w:right="75"/>
                    <w:rPr>
                      <w:rFonts w:ascii="Times New Roman" w:eastAsia="Times New Roman" w:hAnsi="Times New Roman" w:cs="Times New Roman"/>
                      <w:sz w:val="24"/>
                      <w:szCs w:val="24"/>
                      <w:lang w:eastAsia="pt-BR"/>
                    </w:rPr>
                  </w:pPr>
                  <w:r w:rsidRPr="00115B82">
                    <w:rPr>
                      <w:rFonts w:ascii="Arial" w:eastAsia="Times New Roman" w:hAnsi="Arial" w:cs="Arial"/>
                      <w:sz w:val="18"/>
                      <w:szCs w:val="18"/>
                      <w:lang w:eastAsia="pt-BR"/>
                    </w:rPr>
                    <w:t>AUTOR(A): CONSELHO FEDERAL DA ORDEM DOS ADVOGADOS DO BRASIL</w:t>
                  </w:r>
                </w:p>
                <w:p w14:paraId="6D9AD3A4" w14:textId="77777777" w:rsidR="00115B82" w:rsidRPr="00115B82" w:rsidRDefault="00115B82" w:rsidP="00115B82">
                  <w:pPr>
                    <w:spacing w:after="0" w:line="240" w:lineRule="auto"/>
                    <w:ind w:left="75" w:right="75"/>
                    <w:rPr>
                      <w:rFonts w:ascii="Times New Roman" w:eastAsia="Times New Roman" w:hAnsi="Times New Roman" w:cs="Times New Roman"/>
                      <w:sz w:val="24"/>
                      <w:szCs w:val="24"/>
                      <w:lang w:eastAsia="pt-BR"/>
                    </w:rPr>
                  </w:pPr>
                  <w:r w:rsidRPr="00115B82">
                    <w:rPr>
                      <w:rFonts w:ascii="Arial" w:eastAsia="Times New Roman" w:hAnsi="Arial" w:cs="Arial"/>
                      <w:sz w:val="18"/>
                      <w:szCs w:val="18"/>
                      <w:lang w:eastAsia="pt-BR"/>
                    </w:rPr>
                    <w:t>RÉ(U): UNIÃO</w:t>
                  </w:r>
                </w:p>
                <w:p w14:paraId="67B6220D" w14:textId="77777777" w:rsidR="00115B82" w:rsidRPr="00115B82" w:rsidRDefault="00115B82" w:rsidP="00115B82">
                  <w:pPr>
                    <w:spacing w:after="0" w:line="240" w:lineRule="auto"/>
                    <w:ind w:left="75" w:right="75"/>
                    <w:rPr>
                      <w:rFonts w:ascii="Times New Roman" w:eastAsia="Times New Roman" w:hAnsi="Times New Roman" w:cs="Times New Roman"/>
                      <w:sz w:val="24"/>
                      <w:szCs w:val="24"/>
                      <w:lang w:eastAsia="pt-BR"/>
                    </w:rPr>
                  </w:pPr>
                  <w:r w:rsidRPr="00115B82">
                    <w:rPr>
                      <w:rFonts w:ascii="Arial" w:eastAsia="Times New Roman" w:hAnsi="Arial" w:cs="Arial"/>
                      <w:sz w:val="18"/>
                      <w:szCs w:val="18"/>
                      <w:lang w:eastAsia="pt-BR"/>
                    </w:rPr>
                    <w:t>SENTENÇA</w:t>
                  </w:r>
                </w:p>
                <w:p w14:paraId="51454714" w14:textId="259645A4" w:rsidR="00115B82" w:rsidRPr="00115B82" w:rsidRDefault="00115B82" w:rsidP="00115B82">
                  <w:pPr>
                    <w:spacing w:after="0" w:line="240" w:lineRule="auto"/>
                    <w:ind w:left="75" w:right="75"/>
                    <w:rPr>
                      <w:rFonts w:ascii="Times New Roman" w:eastAsia="Times New Roman" w:hAnsi="Times New Roman" w:cs="Times New Roman"/>
                      <w:sz w:val="24"/>
                      <w:szCs w:val="24"/>
                      <w:lang w:eastAsia="pt-BR"/>
                    </w:rPr>
                  </w:pPr>
                  <w:r w:rsidRPr="00115B82">
                    <w:rPr>
                      <w:rFonts w:ascii="Arial" w:eastAsia="Times New Roman" w:hAnsi="Arial" w:cs="Arial"/>
                      <w:sz w:val="18"/>
                      <w:szCs w:val="18"/>
                      <w:lang w:eastAsia="pt-BR"/>
                    </w:rPr>
                    <w:t>Trata-se de ação ordinária proposta pelo CONSELHO FEDERAL DA ORDEM DOS ADVOGADOS DO BRASIL em desfavor da UNIÃO, com pedido de tutela antecipada, objetivando declaração de que as sociedades unipessoais da advocacia dispostas no </w:t>
                  </w:r>
                  <w:r w:rsidRPr="00115B82">
                    <w:rPr>
                      <w:rFonts w:ascii="Arial" w:eastAsia="Times New Roman" w:hAnsi="Arial" w:cs="Arial"/>
                      <w:color w:val="0000FF"/>
                      <w:sz w:val="18"/>
                      <w:szCs w:val="18"/>
                      <w:u w:val="single"/>
                      <w:lang w:eastAsia="pt-BR"/>
                    </w:rPr>
                    <w:t>art. 2°</w:t>
                  </w:r>
                  <w:r w:rsidRPr="00115B82">
                    <w:rPr>
                      <w:rFonts w:ascii="Arial" w:eastAsia="Times New Roman" w:hAnsi="Arial" w:cs="Arial"/>
                      <w:sz w:val="18"/>
                      <w:szCs w:val="18"/>
                      <w:lang w:eastAsia="pt-BR"/>
                    </w:rPr>
                    <w:t> da </w:t>
                  </w:r>
                  <w:r w:rsidRPr="00115B82">
                    <w:rPr>
                      <w:rFonts w:ascii="Arial" w:eastAsia="Times New Roman" w:hAnsi="Arial" w:cs="Arial"/>
                      <w:color w:val="0000FF"/>
                      <w:sz w:val="18"/>
                      <w:szCs w:val="18"/>
                      <w:u w:val="single"/>
                      <w:lang w:eastAsia="pt-BR"/>
                    </w:rPr>
                    <w:t>Lei 13.247/2015</w:t>
                  </w:r>
                  <w:r w:rsidRPr="00115B82">
                    <w:rPr>
                      <w:rFonts w:ascii="Arial" w:eastAsia="Times New Roman" w:hAnsi="Arial" w:cs="Arial"/>
                      <w:sz w:val="18"/>
                      <w:szCs w:val="18"/>
                      <w:lang w:eastAsia="pt-BR"/>
                    </w:rPr>
                    <w:t> estão abrangidas pelo </w:t>
                  </w:r>
                  <w:r w:rsidRPr="00115B82">
                    <w:rPr>
                      <w:rFonts w:ascii="Arial" w:eastAsia="Times New Roman" w:hAnsi="Arial" w:cs="Arial"/>
                      <w:color w:val="0000FF"/>
                      <w:sz w:val="18"/>
                      <w:szCs w:val="18"/>
                      <w:u w:val="single"/>
                      <w:lang w:eastAsia="pt-BR"/>
                    </w:rPr>
                    <w:t>art. 3°</w:t>
                  </w:r>
                  <w:r w:rsidRPr="00115B82">
                    <w:rPr>
                      <w:rFonts w:ascii="Arial" w:eastAsia="Times New Roman" w:hAnsi="Arial" w:cs="Arial"/>
                      <w:sz w:val="18"/>
                      <w:szCs w:val="18"/>
                      <w:lang w:eastAsia="pt-BR"/>
                    </w:rPr>
                    <w:t> da </w:t>
                  </w:r>
                  <w:r w:rsidRPr="00115B82">
                    <w:rPr>
                      <w:rFonts w:ascii="Arial" w:eastAsia="Times New Roman" w:hAnsi="Arial" w:cs="Arial"/>
                      <w:color w:val="0000FF"/>
                      <w:sz w:val="18"/>
                      <w:szCs w:val="18"/>
                      <w:u w:val="single"/>
                      <w:lang w:eastAsia="pt-BR"/>
                    </w:rPr>
                    <w:t>Lei Complementar n° 123/2006</w:t>
                  </w:r>
                  <w:r w:rsidRPr="00115B82">
                    <w:rPr>
                      <w:rFonts w:ascii="Arial" w:eastAsia="Times New Roman" w:hAnsi="Arial" w:cs="Arial"/>
                      <w:sz w:val="18"/>
                      <w:szCs w:val="18"/>
                      <w:lang w:eastAsia="pt-BR"/>
                    </w:rPr>
                    <w:t> como sociedades simples e, portanto, não podem ser excluídas do Simples Nacional.</w:t>
                  </w:r>
                </w:p>
                <w:p w14:paraId="69C4BBDB" w14:textId="77777777" w:rsidR="00115B82" w:rsidRPr="00115B82" w:rsidRDefault="00115B82" w:rsidP="00115B82">
                  <w:pPr>
                    <w:spacing w:after="0" w:line="240" w:lineRule="auto"/>
                    <w:ind w:left="75" w:right="75"/>
                    <w:rPr>
                      <w:rFonts w:ascii="Times New Roman" w:eastAsia="Times New Roman" w:hAnsi="Times New Roman" w:cs="Times New Roman"/>
                      <w:sz w:val="24"/>
                      <w:szCs w:val="24"/>
                      <w:lang w:eastAsia="pt-BR"/>
                    </w:rPr>
                  </w:pPr>
                  <w:r w:rsidRPr="00115B82">
                    <w:rPr>
                      <w:rFonts w:ascii="Arial" w:eastAsia="Times New Roman" w:hAnsi="Arial" w:cs="Arial"/>
                      <w:sz w:val="18"/>
                      <w:szCs w:val="18"/>
                      <w:lang w:eastAsia="pt-BR"/>
                    </w:rPr>
                    <w:t>O autor requereu desistência da demanda (f.35).</w:t>
                  </w:r>
                </w:p>
                <w:p w14:paraId="3B67A87C" w14:textId="77777777" w:rsidR="00115B82" w:rsidRPr="00115B82" w:rsidRDefault="00115B82" w:rsidP="00115B82">
                  <w:pPr>
                    <w:spacing w:after="0" w:line="240" w:lineRule="auto"/>
                    <w:ind w:left="75" w:right="75"/>
                    <w:rPr>
                      <w:rFonts w:ascii="Times New Roman" w:eastAsia="Times New Roman" w:hAnsi="Times New Roman" w:cs="Times New Roman"/>
                      <w:sz w:val="24"/>
                      <w:szCs w:val="24"/>
                      <w:lang w:eastAsia="pt-BR"/>
                    </w:rPr>
                  </w:pPr>
                  <w:r w:rsidRPr="00115B82">
                    <w:rPr>
                      <w:rFonts w:ascii="Arial" w:eastAsia="Times New Roman" w:hAnsi="Arial" w:cs="Arial"/>
                      <w:sz w:val="18"/>
                      <w:szCs w:val="18"/>
                      <w:lang w:eastAsia="pt-BR"/>
                    </w:rPr>
                    <w:t>É o breve relato. DECIDO.</w:t>
                  </w:r>
                </w:p>
                <w:p w14:paraId="12B7746B" w14:textId="77777777" w:rsidR="00115B82" w:rsidRPr="00115B82" w:rsidRDefault="00115B82" w:rsidP="00115B82">
                  <w:pPr>
                    <w:spacing w:after="0" w:line="240" w:lineRule="auto"/>
                    <w:ind w:left="75" w:right="75"/>
                    <w:rPr>
                      <w:rFonts w:ascii="Times New Roman" w:eastAsia="Times New Roman" w:hAnsi="Times New Roman" w:cs="Times New Roman"/>
                      <w:sz w:val="24"/>
                      <w:szCs w:val="24"/>
                      <w:lang w:eastAsia="pt-BR"/>
                    </w:rPr>
                  </w:pPr>
                  <w:r w:rsidRPr="00115B82">
                    <w:rPr>
                      <w:rFonts w:ascii="Arial" w:eastAsia="Times New Roman" w:hAnsi="Arial" w:cs="Arial"/>
                      <w:sz w:val="18"/>
                      <w:szCs w:val="18"/>
                      <w:lang w:eastAsia="pt-BR"/>
                    </w:rPr>
                    <w:t>Verifico que o pedido de desistência formulado pela parte autora no presente processo está subscrito por advogado com poderes expressos na procuração para desistir</w:t>
                  </w:r>
                </w:p>
                <w:p w14:paraId="22F9D868" w14:textId="77777777" w:rsidR="00115B82" w:rsidRPr="00115B82" w:rsidRDefault="00115B82" w:rsidP="00115B82">
                  <w:pPr>
                    <w:spacing w:after="0" w:line="240" w:lineRule="auto"/>
                    <w:ind w:left="75" w:right="75"/>
                    <w:rPr>
                      <w:rFonts w:ascii="Times New Roman" w:eastAsia="Times New Roman" w:hAnsi="Times New Roman" w:cs="Times New Roman"/>
                      <w:sz w:val="24"/>
                      <w:szCs w:val="24"/>
                      <w:lang w:eastAsia="pt-BR"/>
                    </w:rPr>
                  </w:pPr>
                  <w:r w:rsidRPr="00115B82">
                    <w:rPr>
                      <w:rFonts w:ascii="Arial" w:eastAsia="Times New Roman" w:hAnsi="Arial" w:cs="Arial"/>
                      <w:sz w:val="18"/>
                      <w:szCs w:val="18"/>
                      <w:lang w:eastAsia="pt-BR"/>
                    </w:rPr>
                    <w:t>No entanto, tendo a parte autora desistido da ação antes da intervenção da parte ré no processo, não são devidos os ônus da sucumbência.</w:t>
                  </w:r>
                </w:p>
                <w:p w14:paraId="65EFD5B6" w14:textId="4BC17270" w:rsidR="00115B82" w:rsidRPr="00115B82" w:rsidRDefault="00115B82" w:rsidP="00115B82">
                  <w:pPr>
                    <w:spacing w:after="0" w:line="240" w:lineRule="auto"/>
                    <w:ind w:left="75" w:right="75"/>
                    <w:rPr>
                      <w:rFonts w:ascii="Times New Roman" w:eastAsia="Times New Roman" w:hAnsi="Times New Roman" w:cs="Times New Roman"/>
                      <w:sz w:val="24"/>
                      <w:szCs w:val="24"/>
                      <w:lang w:eastAsia="pt-BR"/>
                    </w:rPr>
                  </w:pPr>
                  <w:r w:rsidRPr="00115B82">
                    <w:rPr>
                      <w:rFonts w:ascii="Arial" w:eastAsia="Times New Roman" w:hAnsi="Arial" w:cs="Arial"/>
                      <w:sz w:val="18"/>
                      <w:szCs w:val="18"/>
                      <w:lang w:eastAsia="pt-BR"/>
                    </w:rPr>
                    <w:t>Ante o exposto, resolvo o processo sem julgamento do mérito, nos termos do </w:t>
                  </w:r>
                  <w:r w:rsidRPr="00115B82">
                    <w:rPr>
                      <w:rFonts w:ascii="Arial" w:eastAsia="Times New Roman" w:hAnsi="Arial" w:cs="Arial"/>
                      <w:color w:val="0000FF"/>
                      <w:sz w:val="18"/>
                      <w:szCs w:val="18"/>
                      <w:u w:val="single"/>
                      <w:lang w:eastAsia="pt-BR"/>
                    </w:rPr>
                    <w:t>art. 267</w:t>
                  </w:r>
                  <w:r w:rsidRPr="00115B82">
                    <w:rPr>
                      <w:rFonts w:ascii="Arial" w:eastAsia="Times New Roman" w:hAnsi="Arial" w:cs="Arial"/>
                      <w:sz w:val="18"/>
                      <w:szCs w:val="18"/>
                      <w:lang w:eastAsia="pt-BR"/>
                    </w:rPr>
                    <w:t>, VIII, do </w:t>
                  </w:r>
                  <w:r w:rsidRPr="00115B82">
                    <w:rPr>
                      <w:rFonts w:ascii="Arial" w:eastAsia="Times New Roman" w:hAnsi="Arial" w:cs="Arial"/>
                      <w:color w:val="0000FF"/>
                      <w:sz w:val="18"/>
                      <w:szCs w:val="18"/>
                      <w:u w:val="single"/>
                      <w:lang w:eastAsia="pt-BR"/>
                    </w:rPr>
                    <w:t>Código de Processo Civil</w:t>
                  </w:r>
                  <w:r w:rsidRPr="00115B82">
                    <w:rPr>
                      <w:rFonts w:ascii="Arial" w:eastAsia="Times New Roman" w:hAnsi="Arial" w:cs="Arial"/>
                      <w:sz w:val="18"/>
                      <w:szCs w:val="18"/>
                      <w:lang w:eastAsia="pt-BR"/>
                    </w:rPr>
                    <w:t>.</w:t>
                  </w:r>
                </w:p>
                <w:p w14:paraId="3CE68F58" w14:textId="77777777" w:rsidR="00115B82" w:rsidRPr="00115B82" w:rsidRDefault="00115B82" w:rsidP="00115B82">
                  <w:pPr>
                    <w:spacing w:after="0" w:line="240" w:lineRule="auto"/>
                    <w:ind w:left="75" w:right="75"/>
                    <w:rPr>
                      <w:rFonts w:ascii="Times New Roman" w:eastAsia="Times New Roman" w:hAnsi="Times New Roman" w:cs="Times New Roman"/>
                      <w:sz w:val="24"/>
                      <w:szCs w:val="24"/>
                      <w:lang w:eastAsia="pt-BR"/>
                    </w:rPr>
                  </w:pPr>
                  <w:r w:rsidRPr="00115B82">
                    <w:rPr>
                      <w:rFonts w:ascii="Arial" w:eastAsia="Times New Roman" w:hAnsi="Arial" w:cs="Arial"/>
                      <w:sz w:val="18"/>
                      <w:szCs w:val="18"/>
                      <w:lang w:eastAsia="pt-BR"/>
                    </w:rPr>
                    <w:t>Após o trânsito em julgado, arquivem-se os autos.</w:t>
                  </w:r>
                </w:p>
                <w:p w14:paraId="7415EFD8" w14:textId="77777777" w:rsidR="00115B82" w:rsidRPr="00115B82" w:rsidRDefault="00115B82" w:rsidP="00115B82">
                  <w:pPr>
                    <w:spacing w:after="0" w:line="240" w:lineRule="auto"/>
                    <w:ind w:left="75" w:right="75"/>
                    <w:rPr>
                      <w:rFonts w:ascii="Times New Roman" w:eastAsia="Times New Roman" w:hAnsi="Times New Roman" w:cs="Times New Roman"/>
                      <w:sz w:val="24"/>
                      <w:szCs w:val="24"/>
                      <w:lang w:eastAsia="pt-BR"/>
                    </w:rPr>
                  </w:pPr>
                  <w:r w:rsidRPr="00115B82">
                    <w:rPr>
                      <w:rFonts w:ascii="Arial" w:eastAsia="Times New Roman" w:hAnsi="Arial" w:cs="Arial"/>
                      <w:sz w:val="18"/>
                      <w:szCs w:val="18"/>
                      <w:lang w:eastAsia="pt-BR"/>
                    </w:rPr>
                    <w:t>Publique-se. Registre-se. Intimem-se.</w:t>
                  </w:r>
                </w:p>
                <w:p w14:paraId="089F1940" w14:textId="77777777" w:rsidR="00115B82" w:rsidRPr="00115B82" w:rsidRDefault="00115B82" w:rsidP="00115B82">
                  <w:pPr>
                    <w:spacing w:after="0" w:line="240" w:lineRule="auto"/>
                    <w:ind w:left="75" w:right="75"/>
                    <w:rPr>
                      <w:rFonts w:ascii="Times New Roman" w:eastAsia="Times New Roman" w:hAnsi="Times New Roman" w:cs="Times New Roman"/>
                      <w:sz w:val="24"/>
                      <w:szCs w:val="24"/>
                      <w:lang w:eastAsia="pt-BR"/>
                    </w:rPr>
                  </w:pPr>
                  <w:r w:rsidRPr="00115B82">
                    <w:rPr>
                      <w:rFonts w:ascii="Arial" w:eastAsia="Times New Roman" w:hAnsi="Arial" w:cs="Arial"/>
                      <w:sz w:val="18"/>
                      <w:szCs w:val="18"/>
                      <w:lang w:eastAsia="pt-BR"/>
                    </w:rPr>
                    <w:t>Brasília-DF,</w:t>
                  </w:r>
                </w:p>
                <w:p w14:paraId="5A984F64" w14:textId="77777777" w:rsidR="00115B82" w:rsidRPr="00115B82" w:rsidRDefault="00115B82" w:rsidP="00115B82">
                  <w:pPr>
                    <w:spacing w:after="0" w:line="240" w:lineRule="auto"/>
                    <w:ind w:left="75" w:right="75"/>
                    <w:jc w:val="center"/>
                    <w:rPr>
                      <w:rFonts w:ascii="Times New Roman" w:eastAsia="Times New Roman" w:hAnsi="Times New Roman" w:cs="Times New Roman"/>
                      <w:sz w:val="24"/>
                      <w:szCs w:val="24"/>
                      <w:lang w:eastAsia="pt-BR"/>
                    </w:rPr>
                  </w:pPr>
                  <w:r w:rsidRPr="00115B82">
                    <w:rPr>
                      <w:rFonts w:ascii="Arial" w:eastAsia="Times New Roman" w:hAnsi="Arial" w:cs="Arial"/>
                      <w:b/>
                      <w:bCs/>
                      <w:sz w:val="18"/>
                      <w:szCs w:val="18"/>
                      <w:lang w:eastAsia="pt-BR"/>
                    </w:rPr>
                    <w:t>DIANA MARIA WANDERLEI DA SILVA</w:t>
                  </w:r>
                </w:p>
                <w:p w14:paraId="202A9070" w14:textId="77777777" w:rsidR="00115B82" w:rsidRPr="00115B82" w:rsidRDefault="00115B82" w:rsidP="00115B82">
                  <w:pPr>
                    <w:spacing w:after="0" w:line="240" w:lineRule="auto"/>
                    <w:ind w:left="75" w:right="75"/>
                    <w:jc w:val="center"/>
                    <w:rPr>
                      <w:rFonts w:ascii="Times New Roman" w:eastAsia="Times New Roman" w:hAnsi="Times New Roman" w:cs="Times New Roman"/>
                      <w:sz w:val="24"/>
                      <w:szCs w:val="24"/>
                      <w:lang w:eastAsia="pt-BR"/>
                    </w:rPr>
                  </w:pPr>
                  <w:r w:rsidRPr="00115B82">
                    <w:rPr>
                      <w:rFonts w:ascii="Arial" w:eastAsia="Times New Roman" w:hAnsi="Arial" w:cs="Arial"/>
                      <w:sz w:val="18"/>
                      <w:szCs w:val="18"/>
                      <w:lang w:eastAsia="pt-BR"/>
                    </w:rPr>
                    <w:t>Juíza Federal Substituta</w:t>
                  </w:r>
                </w:p>
              </w:tc>
            </w:tr>
          </w:tbl>
          <w:p w14:paraId="75421E07" w14:textId="1E519BCE"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t>É visto que o comitê gestor reconhece todas as sociedades tipificadas na </w:t>
            </w:r>
            <w:r w:rsidRPr="00115B82">
              <w:rPr>
                <w:rFonts w:ascii="Arial" w:eastAsia="Times New Roman" w:hAnsi="Arial" w:cs="Arial"/>
                <w:color w:val="0000FF"/>
                <w:sz w:val="20"/>
                <w:szCs w:val="20"/>
                <w:u w:val="single"/>
                <w:lang w:eastAsia="pt-BR"/>
              </w:rPr>
              <w:t>Lei n° 8.906/1994</w:t>
            </w:r>
            <w:r w:rsidRPr="00115B82">
              <w:rPr>
                <w:rFonts w:ascii="Arial" w:eastAsia="Times New Roman" w:hAnsi="Arial" w:cs="Arial"/>
                <w:sz w:val="20"/>
                <w:szCs w:val="20"/>
                <w:lang w:eastAsia="pt-BR"/>
              </w:rPr>
              <w:t>, sendo assim, com a referida alteração deste estatuto com a </w:t>
            </w:r>
            <w:r w:rsidRPr="00115B82">
              <w:rPr>
                <w:rFonts w:ascii="Arial" w:eastAsia="Times New Roman" w:hAnsi="Arial" w:cs="Arial"/>
                <w:color w:val="0000FF"/>
                <w:sz w:val="20"/>
                <w:szCs w:val="20"/>
                <w:u w:val="single"/>
                <w:lang w:eastAsia="pt-BR"/>
              </w:rPr>
              <w:t>Lei n° 13.247/2016</w:t>
            </w:r>
            <w:r w:rsidRPr="00115B82">
              <w:rPr>
                <w:rFonts w:ascii="Arial" w:eastAsia="Times New Roman" w:hAnsi="Arial" w:cs="Arial"/>
                <w:sz w:val="20"/>
                <w:szCs w:val="20"/>
                <w:lang w:eastAsia="pt-BR"/>
              </w:rPr>
              <w:t> e combinado com a decisão proferida acima elencada, a opção ao Simples Nacional se estende para esta modalidade jurídica.</w:t>
            </w:r>
          </w:p>
          <w:p w14:paraId="0486E51D" w14:textId="082D3C96"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t>Para optar pelo Simples Nacional nessa condição de "em início de atividade", elas também precisariam fazer a opção em até 30 dias contados do deferimento da inscrição municipal. </w:t>
            </w:r>
            <w:r w:rsidRPr="00115B82">
              <w:rPr>
                <w:rFonts w:ascii="Arial" w:eastAsia="Times New Roman" w:hAnsi="Arial" w:cs="Arial"/>
                <w:color w:val="0000FF"/>
                <w:sz w:val="20"/>
                <w:szCs w:val="20"/>
                <w:u w:val="single"/>
                <w:lang w:eastAsia="pt-BR"/>
              </w:rPr>
              <w:t>Resolução CGSN n° 94/2011</w:t>
            </w:r>
            <w:r w:rsidRPr="00115B82">
              <w:rPr>
                <w:rFonts w:ascii="Arial" w:eastAsia="Times New Roman" w:hAnsi="Arial" w:cs="Arial"/>
                <w:sz w:val="20"/>
                <w:szCs w:val="20"/>
                <w:lang w:eastAsia="pt-BR"/>
              </w:rPr>
              <w:t>, </w:t>
            </w:r>
            <w:r w:rsidRPr="00115B82">
              <w:rPr>
                <w:rFonts w:ascii="Arial" w:eastAsia="Times New Roman" w:hAnsi="Arial" w:cs="Arial"/>
                <w:color w:val="0000FF"/>
                <w:sz w:val="20"/>
                <w:szCs w:val="20"/>
                <w:u w:val="single"/>
                <w:lang w:eastAsia="pt-BR"/>
              </w:rPr>
              <w:t>art. 6°</w:t>
            </w:r>
            <w:r w:rsidRPr="00115B82">
              <w:rPr>
                <w:rFonts w:ascii="Arial" w:eastAsia="Times New Roman" w:hAnsi="Arial" w:cs="Arial"/>
                <w:sz w:val="20"/>
                <w:szCs w:val="20"/>
                <w:lang w:eastAsia="pt-BR"/>
              </w:rPr>
              <w:t>, </w:t>
            </w:r>
            <w:r w:rsidRPr="00115B82">
              <w:rPr>
                <w:rFonts w:ascii="Arial" w:eastAsia="Times New Roman" w:hAnsi="Arial" w:cs="Arial"/>
                <w:color w:val="0000FF"/>
                <w:sz w:val="20"/>
                <w:szCs w:val="20"/>
                <w:u w:val="single"/>
                <w:lang w:eastAsia="pt-BR"/>
              </w:rPr>
              <w:t>§ 5°</w:t>
            </w:r>
            <w:r w:rsidRPr="00115B82">
              <w:rPr>
                <w:rFonts w:ascii="Arial" w:eastAsia="Times New Roman" w:hAnsi="Arial" w:cs="Arial"/>
                <w:sz w:val="20"/>
                <w:szCs w:val="20"/>
                <w:lang w:eastAsia="pt-BR"/>
              </w:rPr>
              <w:t>, </w:t>
            </w:r>
            <w:r w:rsidRPr="00115B82">
              <w:rPr>
                <w:rFonts w:ascii="Arial" w:eastAsia="Times New Roman" w:hAnsi="Arial" w:cs="Arial"/>
                <w:color w:val="0000FF"/>
                <w:sz w:val="20"/>
                <w:szCs w:val="20"/>
                <w:u w:val="single"/>
                <w:lang w:eastAsia="pt-BR"/>
              </w:rPr>
              <w:t>inciso I</w:t>
            </w:r>
          </w:p>
          <w:p w14:paraId="461032AC" w14:textId="77777777"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t>Operacionalmente, a única forma de fazer cumprir a decisão judicial em curto prazo é orientar a sociedade unipessoal de advocacia com inscrição municipal.</w:t>
            </w:r>
          </w:p>
          <w:p w14:paraId="7674BF9B" w14:textId="77777777"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t>Para as que estiverem em início de atividade deve-se fazer a opção normalmente, informando como data da inscrição municipal a data efetiva.</w:t>
            </w:r>
          </w:p>
          <w:p w14:paraId="77E79651" w14:textId="77777777"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t>Essa decisão judicial será objeto de recurso, podendo ser futuramente suspensa ou cassada, o que ensejará novas orientações.</w:t>
            </w:r>
          </w:p>
          <w:p w14:paraId="0A7E88C1" w14:textId="77777777"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bookmarkStart w:id="3" w:name="4."/>
            <w:r w:rsidRPr="00115B82">
              <w:rPr>
                <w:rFonts w:ascii="Arial" w:eastAsia="Times New Roman" w:hAnsi="Arial" w:cs="Arial"/>
                <w:b/>
                <w:bCs/>
                <w:sz w:val="20"/>
                <w:szCs w:val="20"/>
                <w:lang w:eastAsia="pt-BR"/>
              </w:rPr>
              <w:lastRenderedPageBreak/>
              <w:t>4.</w:t>
            </w:r>
            <w:bookmarkEnd w:id="3"/>
            <w:r w:rsidRPr="00115B82">
              <w:rPr>
                <w:rFonts w:ascii="Arial" w:eastAsia="Times New Roman" w:hAnsi="Arial" w:cs="Arial"/>
                <w:b/>
                <w:bCs/>
                <w:sz w:val="20"/>
                <w:szCs w:val="20"/>
                <w:lang w:eastAsia="pt-BR"/>
              </w:rPr>
              <w:t> TRIBUTAÇÃO</w:t>
            </w:r>
          </w:p>
          <w:p w14:paraId="33511A2C" w14:textId="17EF5810"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t>A atividade de Advocacia foi introduzida ao Simples Nacional pela </w:t>
            </w:r>
            <w:r w:rsidRPr="00115B82">
              <w:rPr>
                <w:rFonts w:ascii="Arial" w:eastAsia="Times New Roman" w:hAnsi="Arial" w:cs="Arial"/>
                <w:color w:val="0000FF"/>
                <w:sz w:val="20"/>
                <w:szCs w:val="20"/>
                <w:u w:val="single"/>
                <w:lang w:eastAsia="pt-BR"/>
              </w:rPr>
              <w:t>Lei Complementar n° 147/2014</w:t>
            </w:r>
            <w:r w:rsidRPr="00115B82">
              <w:rPr>
                <w:rFonts w:ascii="Arial" w:eastAsia="Times New Roman" w:hAnsi="Arial" w:cs="Arial"/>
                <w:sz w:val="20"/>
                <w:szCs w:val="20"/>
                <w:lang w:eastAsia="pt-BR"/>
              </w:rPr>
              <w:t> tendo efeitos a partir do dia 01.01.2015, sendo tributada no Simples Nacional no correspondente anexo IV.</w:t>
            </w:r>
          </w:p>
          <w:p w14:paraId="4965DD74" w14:textId="77777777"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t>Todavia, neste referido anexo apenas abrangerá os seguintes impostos IRPJ, CSLL, PIS, COFINS e ISS, tendo uma alíquota inicial de 4,50% à 16,85%.</w:t>
            </w:r>
          </w:p>
          <w:p w14:paraId="63ED9251" w14:textId="13E4195E"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t>Entretanto, a particularidade trazida neste anexo é o não recolhimento da CPP (contribuição previdenciária patronal) dentro do DAS. Ou seja, o recolhimento da CPP (contribuição previdenciária patronal) se dará em separado conforme a legislação previdenciária. </w:t>
            </w:r>
            <w:r w:rsidRPr="00115B82">
              <w:rPr>
                <w:rFonts w:ascii="Arial" w:eastAsia="Times New Roman" w:hAnsi="Arial" w:cs="Arial"/>
                <w:color w:val="0000FF"/>
                <w:sz w:val="20"/>
                <w:szCs w:val="20"/>
                <w:u w:val="single"/>
                <w:lang w:eastAsia="pt-BR"/>
              </w:rPr>
              <w:t>Lei Complementar n° 123/2006</w:t>
            </w:r>
            <w:r w:rsidRPr="00115B82">
              <w:rPr>
                <w:rFonts w:ascii="Arial" w:eastAsia="Times New Roman" w:hAnsi="Arial" w:cs="Arial"/>
                <w:sz w:val="20"/>
                <w:szCs w:val="20"/>
                <w:lang w:eastAsia="pt-BR"/>
              </w:rPr>
              <w:t>, </w:t>
            </w:r>
            <w:r w:rsidRPr="00115B82">
              <w:rPr>
                <w:rFonts w:ascii="Arial" w:eastAsia="Times New Roman" w:hAnsi="Arial" w:cs="Arial"/>
                <w:color w:val="0000FF"/>
                <w:sz w:val="20"/>
                <w:szCs w:val="20"/>
                <w:u w:val="single"/>
                <w:lang w:eastAsia="pt-BR"/>
              </w:rPr>
              <w:t>art. 18</w:t>
            </w:r>
            <w:r w:rsidRPr="00115B82">
              <w:rPr>
                <w:rFonts w:ascii="Arial" w:eastAsia="Times New Roman" w:hAnsi="Arial" w:cs="Arial"/>
                <w:sz w:val="20"/>
                <w:szCs w:val="20"/>
                <w:lang w:eastAsia="pt-BR"/>
              </w:rPr>
              <w:t>, </w:t>
            </w:r>
            <w:r w:rsidRPr="00115B82">
              <w:rPr>
                <w:rFonts w:ascii="Arial" w:eastAsia="Times New Roman" w:hAnsi="Arial" w:cs="Arial"/>
                <w:color w:val="0000FF"/>
                <w:sz w:val="20"/>
                <w:szCs w:val="20"/>
                <w:u w:val="single"/>
                <w:lang w:eastAsia="pt-BR"/>
              </w:rPr>
              <w:t>§ 5°-C</w:t>
            </w:r>
          </w:p>
          <w:p w14:paraId="2C130BD6" w14:textId="77777777"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bookmarkStart w:id="4" w:name="5."/>
            <w:r w:rsidRPr="00115B82">
              <w:rPr>
                <w:rFonts w:ascii="Arial" w:eastAsia="Times New Roman" w:hAnsi="Arial" w:cs="Arial"/>
                <w:b/>
                <w:bCs/>
                <w:sz w:val="20"/>
                <w:szCs w:val="20"/>
                <w:lang w:eastAsia="pt-BR"/>
              </w:rPr>
              <w:t>5.</w:t>
            </w:r>
            <w:bookmarkEnd w:id="4"/>
            <w:r w:rsidRPr="00115B82">
              <w:rPr>
                <w:rFonts w:ascii="Arial" w:eastAsia="Times New Roman" w:hAnsi="Arial" w:cs="Arial"/>
                <w:b/>
                <w:bCs/>
                <w:sz w:val="20"/>
                <w:szCs w:val="20"/>
                <w:lang w:eastAsia="pt-BR"/>
              </w:rPr>
              <w:t> REGISTRO DA SOCIEDADE UNIPESSOAL</w:t>
            </w:r>
          </w:p>
          <w:p w14:paraId="71B9E57C" w14:textId="77777777"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t>Por fim cabe expor que, essa modalidade de natureza jurídica a Sociedade Unipessoal de Advocacia, tem seu registro deferido apenas pelo órgão regulamentador da referida atividade.</w:t>
            </w:r>
          </w:p>
          <w:p w14:paraId="03A5B099" w14:textId="2DCD679F"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t>A sociedade unipessoal de advocacia adquire personalidade jurídica com o registro aprovado dos seus atos constitutivos no Conselho Seccional da OAB em cuja base territorial tiver sede. </w:t>
            </w:r>
            <w:r w:rsidRPr="00115B82">
              <w:rPr>
                <w:rFonts w:ascii="Arial" w:eastAsia="Times New Roman" w:hAnsi="Arial" w:cs="Arial"/>
                <w:color w:val="0000FF"/>
                <w:sz w:val="20"/>
                <w:szCs w:val="20"/>
                <w:u w:val="single"/>
                <w:lang w:eastAsia="pt-BR"/>
              </w:rPr>
              <w:t>Lei n° 8.906/1994</w:t>
            </w:r>
            <w:r w:rsidRPr="00115B82">
              <w:rPr>
                <w:rFonts w:ascii="Arial" w:eastAsia="Times New Roman" w:hAnsi="Arial" w:cs="Arial"/>
                <w:sz w:val="20"/>
                <w:szCs w:val="20"/>
                <w:lang w:eastAsia="pt-BR"/>
              </w:rPr>
              <w:t>, </w:t>
            </w:r>
            <w:r w:rsidRPr="00115B82">
              <w:rPr>
                <w:rFonts w:ascii="Arial" w:eastAsia="Times New Roman" w:hAnsi="Arial" w:cs="Arial"/>
                <w:color w:val="0000FF"/>
                <w:sz w:val="20"/>
                <w:szCs w:val="20"/>
                <w:u w:val="single"/>
                <w:lang w:eastAsia="pt-BR"/>
              </w:rPr>
              <w:t>art. 15</w:t>
            </w:r>
            <w:r w:rsidRPr="00115B82">
              <w:rPr>
                <w:rFonts w:ascii="Arial" w:eastAsia="Times New Roman" w:hAnsi="Arial" w:cs="Arial"/>
                <w:sz w:val="20"/>
                <w:szCs w:val="20"/>
                <w:lang w:eastAsia="pt-BR"/>
              </w:rPr>
              <w:t>, </w:t>
            </w:r>
            <w:r w:rsidRPr="00115B82">
              <w:rPr>
                <w:rFonts w:ascii="Arial" w:eastAsia="Times New Roman" w:hAnsi="Arial" w:cs="Arial"/>
                <w:color w:val="0000FF"/>
                <w:sz w:val="20"/>
                <w:szCs w:val="20"/>
                <w:u w:val="single"/>
                <w:lang w:eastAsia="pt-BR"/>
              </w:rPr>
              <w:t>§ 1°</w:t>
            </w:r>
          </w:p>
          <w:p w14:paraId="06749C73" w14:textId="77777777" w:rsidR="00115B82" w:rsidRPr="00115B82" w:rsidRDefault="00115B82" w:rsidP="00115B82">
            <w:pPr>
              <w:spacing w:before="100" w:beforeAutospacing="1" w:after="100" w:afterAutospacing="1" w:line="240" w:lineRule="auto"/>
              <w:rPr>
                <w:rFonts w:ascii="Calibri" w:eastAsia="Times New Roman" w:hAnsi="Calibri" w:cs="Calibri"/>
                <w:sz w:val="24"/>
                <w:szCs w:val="24"/>
                <w:lang w:eastAsia="pt-BR"/>
              </w:rPr>
            </w:pPr>
            <w:r w:rsidRPr="00115B82">
              <w:rPr>
                <w:rFonts w:ascii="Arial" w:eastAsia="Times New Roman" w:hAnsi="Arial" w:cs="Arial"/>
                <w:sz w:val="20"/>
                <w:szCs w:val="20"/>
                <w:lang w:eastAsia="pt-BR"/>
              </w:rPr>
              <w:t>A denominação da sociedade unipessoal de advocacia deve ser obrigatoriamente formada pelo nome do seu titular, completo ou parcial, com a expressão ‘Sociedade Individual de Advocacia.</w:t>
            </w:r>
          </w:p>
          <w:p w14:paraId="42A2AA77" w14:textId="348E66E6" w:rsidR="00115B82" w:rsidRPr="00115B82" w:rsidRDefault="00115B82" w:rsidP="00115B82">
            <w:pPr>
              <w:spacing w:before="100" w:beforeAutospacing="1" w:after="100" w:afterAutospacing="1" w:line="240" w:lineRule="atLeast"/>
              <w:rPr>
                <w:rFonts w:ascii="Calibri" w:eastAsia="Times New Roman" w:hAnsi="Calibri" w:cs="Calibri"/>
                <w:sz w:val="24"/>
                <w:szCs w:val="24"/>
                <w:lang w:eastAsia="pt-BR"/>
              </w:rPr>
            </w:pPr>
          </w:p>
        </w:tc>
      </w:tr>
      <w:tr w:rsidR="00115B82" w:rsidRPr="00115B82" w14:paraId="4CBBA508" w14:textId="77777777" w:rsidTr="0095714B">
        <w:trPr>
          <w:trHeight w:val="255"/>
        </w:trPr>
        <w:tc>
          <w:tcPr>
            <w:tcW w:w="9353" w:type="dxa"/>
            <w:tcBorders>
              <w:top w:val="nil"/>
              <w:left w:val="nil"/>
              <w:bottom w:val="nil"/>
              <w:right w:val="nil"/>
            </w:tcBorders>
            <w:vAlign w:val="center"/>
            <w:hideMark/>
          </w:tcPr>
          <w:p w14:paraId="407467B7" w14:textId="77777777" w:rsidR="00115B82" w:rsidRPr="00115B82" w:rsidRDefault="00115B82" w:rsidP="00115B82">
            <w:pPr>
              <w:spacing w:after="0" w:line="240" w:lineRule="auto"/>
              <w:rPr>
                <w:rFonts w:ascii="Calibri" w:eastAsia="Times New Roman" w:hAnsi="Calibri" w:cs="Calibri"/>
                <w:sz w:val="24"/>
                <w:szCs w:val="24"/>
                <w:lang w:eastAsia="pt-BR"/>
              </w:rPr>
            </w:pPr>
          </w:p>
        </w:tc>
      </w:tr>
      <w:tr w:rsidR="00115B82" w:rsidRPr="00115B82" w14:paraId="0E1E1822" w14:textId="77777777" w:rsidTr="0095714B">
        <w:trPr>
          <w:trHeight w:val="510"/>
        </w:trPr>
        <w:tc>
          <w:tcPr>
            <w:tcW w:w="9353" w:type="dxa"/>
            <w:tcBorders>
              <w:top w:val="nil"/>
              <w:left w:val="nil"/>
              <w:bottom w:val="nil"/>
              <w:right w:val="nil"/>
            </w:tcBorders>
            <w:hideMark/>
          </w:tcPr>
          <w:p w14:paraId="55B6FDAB" w14:textId="77777777" w:rsidR="00115B82" w:rsidRPr="00115B82" w:rsidRDefault="0095714B" w:rsidP="00115B82">
            <w:pPr>
              <w:spacing w:after="0" w:line="240" w:lineRule="auto"/>
              <w:rPr>
                <w:rFonts w:ascii="Calibri" w:eastAsia="Times New Roman" w:hAnsi="Calibri" w:cs="Calibri"/>
                <w:sz w:val="24"/>
                <w:szCs w:val="24"/>
                <w:lang w:eastAsia="pt-BR"/>
              </w:rPr>
            </w:pPr>
            <w:r>
              <w:rPr>
                <w:rFonts w:ascii="Calibri" w:eastAsia="Times New Roman" w:hAnsi="Calibri" w:cs="Calibri"/>
                <w:sz w:val="24"/>
                <w:szCs w:val="24"/>
                <w:lang w:eastAsia="pt-BR"/>
              </w:rPr>
              <w:pict w14:anchorId="4888DFEC">
                <v:rect id="_x0000_i1091" style="width:0;height:1.5pt" o:hralign="center" o:hrstd="t" o:hr="t" fillcolor="#a0a0a0" stroked="f"/>
              </w:pict>
            </w:r>
          </w:p>
          <w:p w14:paraId="5A1260F2" w14:textId="304079D3" w:rsidR="00115B82" w:rsidRPr="00115B82" w:rsidRDefault="00115B82" w:rsidP="00115B82">
            <w:pPr>
              <w:spacing w:after="0" w:line="240" w:lineRule="auto"/>
              <w:rPr>
                <w:rFonts w:ascii="Calibri" w:eastAsia="Times New Roman" w:hAnsi="Calibri" w:cs="Calibri"/>
                <w:sz w:val="24"/>
                <w:szCs w:val="24"/>
                <w:lang w:eastAsia="pt-BR"/>
              </w:rPr>
            </w:pPr>
          </w:p>
        </w:tc>
      </w:tr>
    </w:tbl>
    <w:p w14:paraId="33907943" w14:textId="77777777" w:rsidR="003E7E45" w:rsidRDefault="003E7E45"/>
    <w:sectPr w:rsidR="003E7E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B82"/>
    <w:rsid w:val="00115B82"/>
    <w:rsid w:val="003E7E45"/>
    <w:rsid w:val="009571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B14228"/>
  <w15:chartTrackingRefBased/>
  <w15:docId w15:val="{79BC63AB-E90B-4EEB-AA74-6CB3B82F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15B8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115B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342866">
      <w:bodyDiv w:val="1"/>
      <w:marLeft w:val="0"/>
      <w:marRight w:val="0"/>
      <w:marTop w:val="0"/>
      <w:marBottom w:val="0"/>
      <w:divBdr>
        <w:top w:val="none" w:sz="0" w:space="0" w:color="auto"/>
        <w:left w:val="none" w:sz="0" w:space="0" w:color="auto"/>
        <w:bottom w:val="none" w:sz="0" w:space="0" w:color="auto"/>
        <w:right w:val="none" w:sz="0" w:space="0" w:color="auto"/>
      </w:divBdr>
      <w:divsChild>
        <w:div w:id="3698450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0487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1113</Words>
  <Characters>6013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fabricia</dc:creator>
  <cp:keywords/>
  <dc:description/>
  <cp:lastModifiedBy>Comercial Link Contabilidade</cp:lastModifiedBy>
  <cp:revision>2</cp:revision>
  <dcterms:created xsi:type="dcterms:W3CDTF">2021-02-12T00:34:00Z</dcterms:created>
  <dcterms:modified xsi:type="dcterms:W3CDTF">2021-02-12T00:34:00Z</dcterms:modified>
</cp:coreProperties>
</file>