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which are a separate pass once the content is agreed.</w:t>
      </w:r>
    </w:p>
    <w:p>
      <w:pPr>
        <w:spacing w:after="80"/>
      </w:pPr>
      <w:r>
        <w:rPr>
          <w:b w:val="0"/>
          <w:i w:val="0"/>
          <w:u w:val="single"/>
        </w:rPr>
        <w:t>Open questions, in one place</w:t>
      </w:r>
    </w:p>
    <w:p>
      <w:pPr>
        <w:spacing w:after="120"/>
      </w:pPr>
      <w:r>
        <w:rPr>
          <w:b w:val="0"/>
          <w:i w:val="0"/>
          <w:color w:val="C01C1C"/>
          <w:u w:val="none"/>
        </w:rPr>
        <w:t>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20"/>
      </w:pPr>
      <w:r>
        <w:rPr>
          <w:b w:val="0"/>
          <w:i w:val="0"/>
          <w:color w:val="C01C1C"/>
          <w:u w:val="none"/>
        </w:rPr>
        <w:t>2. is a pre-survey required for this course, or is this an enrollment question rather than a lesson question? If enrollment already captures the learner's CoC, this screen should be dropped rather than asking for it twice.</w:t>
      </w:r>
    </w:p>
    <w:p>
      <w:pPr>
        <w:spacing w:after="120"/>
      </w:pPr>
      <w:r>
        <w:rPr>
          <w:b w:val="0"/>
          <w:i w:val="0"/>
          <w:color w:val="C01C1C"/>
          <w:u w:val="none"/>
        </w:rPr>
        <w:t>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20"/>
      </w:pPr>
      <w:r>
        <w:rPr>
          <w:b w:val="0"/>
          <w:i w:val="0"/>
          <w:color w:val="C01C1C"/>
          <w:u w:val="none"/>
        </w:rPr>
        <w:t>4. give the participant a name if the team has a persona it already uses.</w:t>
      </w:r>
    </w:p>
    <w:p>
      <w:pPr>
        <w:spacing w:after="120"/>
      </w:pPr>
      <w:r>
        <w:rPr>
          <w:b w:val="0"/>
          <w:i w:val="0"/>
          <w:color w:val="C01C1C"/>
          <w:u w:val="none"/>
        </w:rPr>
        <w:t>5. confirm this matches LAHSA's data-handling policy for field notes. The earlier draft says to note the name and DOB or SSN on paper or in a phone's Notes app; the wording above deliberately stops short of the SSN.</w:t>
      </w:r>
    </w:p>
    <w:p>
      <w:pPr>
        <w:spacing w:after="120"/>
      </w:pPr>
      <w:r>
        <w:rPr>
          <w:b w:val="0"/>
          <w:i w:val="0"/>
          <w:color w:val="C01C1C"/>
          <w:u w:val="none"/>
        </w:rPr>
        <w:t>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120"/>
      </w:pPr>
      <w:r>
        <w:rPr>
          <w:b w:val="0"/>
          <w:i w:val="0"/>
          <w:color w:val="C01C1C"/>
          <w:u w:val="none"/>
        </w:rPr>
        <w:t>7. confirm the team wants participant used in narration throughout, with the software's own label acknowledged once here.</w:t>
      </w:r>
    </w:p>
    <w:p>
      <w:pPr>
        <w:spacing w:after="120"/>
      </w:pPr>
      <w:r>
        <w:rPr>
          <w:b w:val="0"/>
          <w:i w:val="0"/>
          <w:color w:val="C01C1C"/>
          <w:u w:val="none"/>
        </w:rPr>
        <w:t>8. should the Outreach module be demonstrated here, or held for a dedicated outreach lesson? It is the one step in this list the practice cannot cover.</w:t>
      </w:r>
    </w:p>
    <w:p>
      <w:pPr>
        <w:spacing w:after="120"/>
      </w:pPr>
      <w:r>
        <w:rPr>
          <w:b w:val="0"/>
          <w:i w:val="0"/>
          <w:color w:val="C01C1C"/>
          <w:u w:val="none"/>
        </w:rPr>
        <w:t>9. is there appetite for the unlock treatment across the series? It is the one thing here that needs a decision before the second lesson is built rather than after.</w:t>
      </w:r>
    </w:p>
    <w:p>
      <w:pPr>
        <w:spacing w:after="120"/>
      </w:pPr>
      <w:r>
        <w:rPr>
          <w:b w:val="0"/>
          <w:i w:val="0"/>
          <w:color w:val="C01C1C"/>
          <w:u w:val="none"/>
        </w:rPr>
        <w:t>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120"/>
      </w:pPr>
      <w:r>
        <w:rPr>
          <w:b w:val="0"/>
          <w:i w:val="0"/>
          <w:color w:val="C01C1C"/>
          <w:u w:val="none"/>
        </w:rPr>
        <w:t>11. is this the right route for a mis-identified record — the same HMIS Support ticket as a duplicate, or a different process? The draft does not cover it and it happens.</w:t>
      </w:r>
    </w:p>
    <w:p>
      <w:pPr>
        <w:spacing w:after="120"/>
      </w:pPr>
      <w:r>
        <w:rPr>
          <w:b w:val="0"/>
          <w:i w:val="0"/>
          <w:color w:val="C01C1C"/>
          <w:u w:val="none"/>
        </w:rPr>
        <w:t>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120"/>
      </w:pPr>
      <w:r>
        <w:rPr>
          <w:b w:val="0"/>
          <w:i w:val="0"/>
          <w:color w:val="C01C1C"/>
          <w:u w:val="none"/>
        </w:rPr>
        <w:t>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120"/>
      </w:pPr>
      <w:r>
        <w:rPr>
          <w:b w:val="0"/>
          <w:i w:val="0"/>
          <w:color w:val="C01C1C"/>
          <w:u w:val="none"/>
        </w:rPr>
        <w:t>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120"/>
      </w:pPr>
      <w:r>
        <w:rPr>
          <w:b w:val="0"/>
          <w:i w:val="0"/>
          <w:color w:val="C01C1C"/>
          <w:u w:val="none"/>
        </w:rPr>
        <w:t>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Pr>
        <w:spacing w:after="120"/>
      </w:pPr>
      <w:r>
        <w:rPr>
          <w:b w:val="0"/>
          <w:i w:val="0"/>
          <w:color w:val="C01C1C"/>
          <w:u w:val="none"/>
        </w:rPr>
        <w:t>16. is there a house format for job aids this should follow, and does anything need to go on it that is not in the list above?</w:t>
      </w:r>
    </w:p>
    <w:p>
      <w:pPr>
        <w:spacing w:after="120"/>
      </w:pPr>
      <w:r>
        <w:rPr>
          <w:b w:val="0"/>
          <w:i w:val="0"/>
          <w:color w:val="C01C1C"/>
          <w:u w:val="none"/>
        </w:rPr>
        <w:t>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20"/>
      </w:pPr>
      <w:r>
        <w:rPr>
          <w:b w:val="0"/>
          <w:i w:val="0"/>
          <w:color w:val="C01C1C"/>
          <w:u w:val="none"/>
        </w:rPr>
        <w:t>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What You Will Be Able to Do</w:t>
      </w:r>
    </w:p>
    <w:p>
      <w:pPr>
        <w:spacing w:after="20"/>
      </w:pPr>
      <w:r>
        <w:rPr>
          <w:b w:val="0"/>
          <w:i w:val="0"/>
          <w:u w:val="none"/>
        </w:rPr>
        <w:t>Before You Start</w:t>
      </w:r>
    </w:p>
    <w:p>
      <w:pPr>
        <w:spacing w:after="20"/>
      </w:pPr>
      <w:r>
        <w:rPr>
          <w:b w:val="0"/>
          <w:i w:val="0"/>
          <w:u w:val="none"/>
        </w:rPr>
        <w:t>Someone Asks You for an Update</w:t>
      </w:r>
    </w:p>
    <w:p>
      <w:pPr>
        <w:spacing w:after="20"/>
      </w:pPr>
      <w:r>
        <w:rPr>
          <w:b w:val="0"/>
          <w:i w:val="0"/>
          <w:u w:val="none"/>
        </w:rPr>
        <w:t>How This Lesson Runs</w:t>
      </w:r>
    </w:p>
    <w:p>
      <w:pPr>
        <w:spacing w:after="20"/>
      </w:pPr>
      <w:r>
        <w:rPr>
          <w:b w:val="0"/>
          <w:i w:val="0"/>
          <w:u w:val="none"/>
        </w:rPr>
        <w:t>Why Searching Thoroughly Matters</w:t>
      </w:r>
    </w:p>
    <w:p>
      <w:pPr>
        <w:spacing w:after="40"/>
      </w:pPr>
      <w:r>
        <w:rPr>
          <w:b/>
          <w:i w:val="0"/>
          <w:u w:val="none"/>
        </w:rPr>
        <w:t>Words You Will See</w:t>
      </w:r>
    </w:p>
    <w:p>
      <w:pPr>
        <w:spacing w:after="20"/>
      </w:pPr>
      <w:r>
        <w:rPr>
          <w:b w:val="0"/>
          <w:i w:val="0"/>
          <w:u w:val="none"/>
        </w:rPr>
        <w:t>Key Terms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How the Practice Tool Is Built</w:t>
      </w:r>
    </w:p>
    <w:p>
      <w:pPr>
        <w:spacing w:after="20"/>
      </w:pPr>
      <w:r>
        <w:rPr>
          <w:b w:val="0"/>
          <w:i w:val="0"/>
          <w:u w:val="none"/>
        </w:rPr>
        <w:t>Only What This Lesson Needs</w:t>
      </w:r>
    </w:p>
    <w:p>
      <w:pPr>
        <w:spacing w:after="20"/>
      </w:pPr>
      <w:r>
        <w:rPr>
          <w:b w:val="0"/>
          <w:i w:val="0"/>
          <w:u w:val="none"/>
        </w:rPr>
        <w:t>Earning the Rest</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Where They Have Been Staying</w:t>
      </w:r>
    </w:p>
    <w:p>
      <w:pPr>
        <w:spacing w:after="20"/>
      </w:pPr>
      <w:r>
        <w:rPr>
          <w:b w:val="0"/>
          <w:i w:val="0"/>
          <w:u w:val="none"/>
        </w:rPr>
        <w:t>Task 12 — Everything at Once</w:t>
      </w:r>
    </w:p>
    <w:p>
      <w:pPr>
        <w:spacing w:after="20"/>
      </w:pPr>
      <w:r>
        <w:rPr>
          <w:b w:val="0"/>
          <w:i w:val="0"/>
          <w:u w:val="none"/>
        </w:rPr>
        <w:t>Task 13 — More Than One Record Matches</w:t>
      </w:r>
    </w:p>
    <w:p>
      <w:pPr>
        <w:spacing w:after="20"/>
      </w:pPr>
      <w:r>
        <w:rPr>
          <w:b w:val="0"/>
          <w:i w:val="0"/>
          <w:u w:val="none"/>
        </w:rPr>
        <w:t>Task 14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Production Standards</w:t>
      </w:r>
    </w:p>
    <w:p>
      <w:pPr>
        <w:spacing w:after="20"/>
      </w:pPr>
      <w:r>
        <w:rPr>
          <w:b w:val="0"/>
          <w:i w:val="0"/>
          <w:u w:val="none"/>
        </w:rPr>
        <w:t>Accessibility</w:t>
      </w:r>
    </w:p>
    <w:p>
      <w:pPr>
        <w:spacing w:after="40"/>
      </w:pPr>
      <w:r>
        <w:rPr>
          <w:b/>
          <w:i w:val="0"/>
          <w:u w:val="none"/>
        </w:rPr>
        <w:t>Knowledge Check</w:t>
      </w:r>
    </w:p>
    <w:p>
      <w:pPr>
        <w:spacing w:after="40"/>
      </w:pPr>
      <w:r>
        <w:rPr>
          <w:b/>
          <w:i w:val="0"/>
          <w:u w:val="none"/>
        </w:rPr>
        <w:t>Take This With You</w:t>
      </w:r>
    </w:p>
    <w:p>
      <w:pPr>
        <w:spacing w:after="20"/>
      </w:pPr>
      <w:r>
        <w:rPr>
          <w:b w:val="0"/>
          <w:i w:val="0"/>
          <w:u w:val="none"/>
        </w:rPr>
        <w:t>Why Accuracy on the Way In Matters</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forty minutes goes, measured from this script rather than estimated: narrated instruction 2,780 words, about 19 minutes at a normal pace. Task situations and feedback, which the learner reads rather than hears, about 8 minutes. Knowledge check about 2 and a half. The fourteen tasks themselves are the smallest part — around 7 minutes of actual interaction, because each one is a short search. Hints and the correct-record lines in this document are not learner-facing time at all.</w:t>
      </w:r>
    </w:p>
    <w:p>
      <w:pPr>
        <w:spacing w:after="160"/>
      </w:pPr>
      <w:r>
        <w:rPr>
          <w:b w:val="0"/>
          <w:i w:val="0"/>
          <w:color w:val="C01C1C"/>
          <w:u w:val="none"/>
        </w:rPr>
        <w:t>Open question 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What You Will Be Able to Do</w:t>
      </w:r>
    </w:p>
    <w:p>
      <w:pPr>
        <w:pStyle w:val="ListNumber"/>
        <w:spacing w:after="40"/>
      </w:pPr>
      <w:r>
        <w:t>Say what HMIS is and what it is used for.</w:t>
      </w:r>
    </w:p>
    <w:p>
      <w:pPr>
        <w:pStyle w:val="ListNumber"/>
        <w:spacing w:after="40"/>
      </w:pPr>
      <w:r>
        <w:t>Use search properly, and explain why searching diligently matters.</w:t>
      </w:r>
    </w:p>
    <w:p>
      <w:pPr>
        <w:pStyle w:val="ListNumber"/>
        <w:spacing w:after="40"/>
      </w:pPr>
      <w:r>
        <w:t>Explain why capturing a participant's information accurately matters.</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Open question 2: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Open question 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Open question 4: give the participant a name if the team has a persona it already uses.</w:t>
      </w:r>
    </w:p>
    <w:p>
      <w:pPr>
        <w:spacing w:after="80"/>
      </w:pPr>
      <w:r>
        <w:rPr>
          <w:b/>
          <w:i w:val="0"/>
          <w:u w:val="none"/>
        </w:rPr>
        <w:t>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and Client</w:t>
      </w:r>
    </w:p>
    <w:p>
      <w:pPr>
        <w:spacing w:after="160"/>
      </w:pPr>
      <w:r>
        <w:rPr>
          <w:b w:val="0"/>
          <w:i w:val="0"/>
          <w:u w:val="none"/>
        </w:rPr>
        <w:t>This lesson says participant. The software says Client. They mean the same person. Both are correct — one is how we talk about people, the other is what the screen is labelled.</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Open question 5: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160"/>
      </w:pPr>
      <w:r>
        <w:rPr>
          <w:b w:val="0"/>
          <w:i w:val="0"/>
          <w:color w:val="C01C1C"/>
          <w:u w:val="none"/>
        </w:rPr>
        <w:t>Open question 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80"/>
      </w:pPr>
      <w:r>
        <w:rPr>
          <w:b/>
          <w:i w:val="0"/>
          <w:u w:val="none"/>
        </w:rPr>
        <w:t>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dimmed in the simulation for this lesson — see Building It Up, below. Nothing needs to be said about it, so nothing is.</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Open question 7: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color w:val="C01C1C"/>
          <w:u w:val="none"/>
        </w:rPr>
        <w:t>Open question 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simulation. Taught with a short screen recording — enough to know the search exists and when to reach for it.</w:t>
      </w:r>
    </w:p>
    <w:p>
      <w:pPr>
        <w:spacing w:after="160"/>
      </w:pPr>
      <w:r>
        <w:rPr>
          <w:b w:val="0"/>
          <w:i w:val="0"/>
          <w:color w:val="C01C1C"/>
          <w:u w:val="none"/>
        </w:rPr>
        <w:t>Open question 8: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its own lesson, and the create form is dimmed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Only What This Lesson Needs</w:t>
      </w:r>
    </w:p>
    <w:p>
      <w:pPr>
        <w:spacing w:after="160"/>
      </w:pPr>
      <w:r>
        <w:rPr>
          <w:b w:val="0"/>
          <w:i w:val="0"/>
          <w:u w:val="none"/>
        </w:rPr>
        <w:t>The practice version of Clarity shows the whole screen, because that is what you will see at work. But the parts this lesson does not use are dimmed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Dimming the rest means there is never a moment in this lesson where something is on screen that we have to explain away, or promise to cover another time.</w:t>
      </w:r>
    </w:p>
    <w:p>
      <w:pPr>
        <w:spacing w:after="80"/>
      </w:pPr>
      <w:r>
        <w:rPr>
          <w:b w:val="0"/>
          <w:i w:val="0"/>
          <w:u w:val="single"/>
        </w:rPr>
        <w:t>What is dimmed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dimmed area brightens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Pr>
        <w:spacing w:after="160"/>
      </w:pPr>
      <w:r>
        <w:rPr>
          <w:b w:val="0"/>
          <w:i w:val="0"/>
          <w:color w:val="C01C1C"/>
          <w:u w:val="none"/>
        </w:rPr>
        <w:t>Open question 9: is there appetite for the unlock treatment across the series? It is the one thing here that needs a decision before the second lesson is built rather than after.</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fourteen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Open question 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Open question 11: is this the right route for a mis-identified record — the same HMIS Support ticket as a duplicate, or a different process? The draft does not cover it and it happens.</w:t>
      </w:r>
    </w:p>
    <w:p>
      <w:pPr>
        <w:spacing w:after="160"/>
      </w:pPr>
      <w:r>
        <w:rPr>
          <w:b w:val="0"/>
          <w:i w:val="0"/>
          <w:color w:val="C01C1C"/>
          <w:u w:val="none"/>
        </w:rPr>
        <w:t>Open question 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Six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Open question 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w:t>
      </w:r>
    </w:p>
    <w:p>
      <w:pPr>
        <w:spacing w:after="160"/>
      </w:pPr>
      <w:r>
        <w:rPr>
          <w:b w:val="0"/>
          <w:i w:val="0"/>
          <w:color w:val="C01C1C"/>
          <w:u w:val="none"/>
        </w:rPr>
        <w:t>Open question 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80"/>
      </w:pPr>
      <w:r>
        <w:rPr>
          <w:b/>
          <w:i w:val="0"/>
          <w:u w:val="none"/>
        </w:rPr>
        <w:t>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14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Production Standards</w:t>
      </w:r>
    </w:p>
    <w:p>
      <w:pPr>
        <w:spacing w:after="80"/>
      </w:pPr>
      <w:r>
        <w:rPr>
          <w:b/>
          <w:i w:val="0"/>
          <w:u w:val="none"/>
        </w:rPr>
        <w:t>Accessibility</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 dimmed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dimmed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dimming treatment described earlier is the one place where accessibility and design pull against each other — dimmed still has to be legible.</w:t>
      </w:r>
    </w:p>
    <w:p>
      <w:pPr>
        <w:spacing w:after="160"/>
      </w:pPr>
      <w:r>
        <w:rPr>
          <w:b w:val="0"/>
          <w:i w:val="0"/>
          <w:color w:val="C01C1C"/>
          <w:u w:val="none"/>
        </w:rPr>
        <w:t>Open question 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Open question 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Why Accuracy on the Way In Matters</w:t>
      </w:r>
    </w:p>
    <w:p>
      <w:pPr>
        <w:spacing w:after="160"/>
      </w:pPr>
      <w:r>
        <w:rPr>
          <w:b w:val="0"/>
          <w:i w:val="0"/>
          <w:u w:val="none"/>
        </w:rPr>
        <w:t>This lesson is about finding someone. But every record you can find was typed by somebody who came before you, and the reason you can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Open question 16: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