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which are a separate pass once the content is agreed.</w:t>
      </w:r>
    </w:p>
    <w:p>
      <w:pPr>
        <w:spacing w:after="80"/>
      </w:pPr>
      <w:r>
        <w:rPr>
          <w:b w:val="0"/>
          <w:i w:val="0"/>
          <w:u w:val="single"/>
        </w:rPr>
        <w:t>Open questions, in one place</w:t>
      </w:r>
    </w:p>
    <w:p>
      <w:pPr>
        <w:spacing w:after="120"/>
      </w:pPr>
      <w:r>
        <w:rPr>
          <w:b w:val="0"/>
          <w:i w:val="0"/>
          <w:color w:val="C01C1C"/>
          <w:u w:val="none"/>
        </w:rPr>
        <w:t>1. the brainstorm notes put an e-learning at about ten minutes, and this is forty. Worth knowing before that is treated as a problem: the practice is not what makes it long — the instruction is, at just over half the words, and most of that is groundwork the rest of the series stands on rather than material this lesson needs for itself. The lever that moves the number furthest is how much is narrated versus read: as narration the instruction runs about 19 minutes, as on-screen text about 12. Cutting tasks saves the least and costs the most.</w:t>
      </w:r>
    </w:p>
    <w:p>
      <w:pPr>
        <w:spacing w:after="120"/>
      </w:pPr>
      <w:r>
        <w:rPr>
          <w:b w:val="0"/>
          <w:i w:val="0"/>
          <w:color w:val="C01C1C"/>
          <w:u w:val="none"/>
        </w:rPr>
        <w:t>2. is a pre-survey required for this course, or is this an enrollment question rather than a lesson question? If enrollment already captures the learner's CoC, this screen should be dropped rather than asking for it twice.</w:t>
      </w:r>
    </w:p>
    <w:p>
      <w:pPr>
        <w:spacing w:after="120"/>
      </w:pPr>
      <w:r>
        <w:rPr>
          <w:b w:val="0"/>
          <w:i w:val="0"/>
          <w:color w:val="C01C1C"/>
          <w:u w:val="none"/>
        </w:rPr>
        <w:t>3.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20"/>
      </w:pPr>
      <w:r>
        <w:rPr>
          <w:b w:val="0"/>
          <w:i w:val="0"/>
          <w:color w:val="C01C1C"/>
          <w:u w:val="none"/>
        </w:rPr>
        <w:t>4. give the participant a name if the team has a persona it already uses.</w:t>
      </w:r>
    </w:p>
    <w:p>
      <w:pPr>
        <w:spacing w:after="120"/>
      </w:pPr>
      <w:r>
        <w:rPr>
          <w:b w:val="0"/>
          <w:i w:val="0"/>
          <w:color w:val="C01C1C"/>
          <w:u w:val="none"/>
        </w:rPr>
        <w:t>5. confirm this matches LAHSA's data-handling policy for field notes. The earlier draft says to note the name and DOB or SSN on paper or in a phone's Notes app; the wording above deliberately stops short of the SSN.</w:t>
      </w:r>
    </w:p>
    <w:p>
      <w:pPr>
        <w:spacing w:after="120"/>
      </w:pPr>
      <w:r>
        <w:rPr>
          <w:b w:val="0"/>
          <w:i w:val="0"/>
          <w:color w:val="C01C1C"/>
          <w:u w:val="none"/>
        </w:rPr>
        <w:t>6.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120"/>
      </w:pPr>
      <w:r>
        <w:rPr>
          <w:b w:val="0"/>
          <w:i w:val="0"/>
          <w:color w:val="C01C1C"/>
          <w:u w:val="none"/>
        </w:rPr>
        <w:t>7. confirm the team wants participant used in narration throughout, with the software's own label acknowledged once here.</w:t>
      </w:r>
    </w:p>
    <w:p>
      <w:pPr>
        <w:spacing w:after="120"/>
      </w:pPr>
      <w:r>
        <w:rPr>
          <w:b w:val="0"/>
          <w:i w:val="0"/>
          <w:color w:val="C01C1C"/>
          <w:u w:val="none"/>
        </w:rPr>
        <w:t>8. should the Outreach module be demonstrated here, or held for a dedicated outreach lesson? It is the one step in this list the practice cannot cover.</w:t>
      </w:r>
    </w:p>
    <w:p>
      <w:pPr>
        <w:spacing w:after="120"/>
      </w:pPr>
      <w:r>
        <w:rPr>
          <w:b w:val="0"/>
          <w:i w:val="0"/>
          <w:color w:val="C01C1C"/>
          <w:u w:val="none"/>
        </w:rPr>
        <w:t>9. is there appetite for the unlock treatment across the series? It is the one thing here that needs a decision before the second lesson is built rather than after.</w:t>
      </w:r>
    </w:p>
    <w:p>
      <w:pPr>
        <w:spacing w:after="120"/>
      </w:pPr>
      <w:r>
        <w:rPr>
          <w:b w:val="0"/>
          <w:i w:val="0"/>
          <w:color w:val="C01C1C"/>
          <w:u w:val="none"/>
        </w:rPr>
        <w:t>10.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120"/>
      </w:pPr>
      <w:r>
        <w:rPr>
          <w:b w:val="0"/>
          <w:i w:val="0"/>
          <w:color w:val="C01C1C"/>
          <w:u w:val="none"/>
        </w:rPr>
        <w:t>11. is this the right route for a mis-identified record — the same HMIS Support ticket as a duplicate, or a different process? The draft does not cover it and it happens.</w:t>
      </w:r>
    </w:p>
    <w:p>
      <w:pPr>
        <w:spacing w:after="120"/>
      </w:pPr>
      <w:r>
        <w:rPr>
          <w:b w:val="0"/>
          <w:i w:val="0"/>
          <w:color w:val="C01C1C"/>
          <w:u w:val="none"/>
        </w:rPr>
        <w:t>12.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120"/>
      </w:pPr>
      <w:r>
        <w:rPr>
          <w:b w:val="0"/>
          <w:i w:val="0"/>
          <w:color w:val="C01C1C"/>
          <w:u w:val="none"/>
        </w:rPr>
        <w:t>13.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120"/>
      </w:pPr>
      <w:r>
        <w:rPr>
          <w:b w:val="0"/>
          <w:i w:val="0"/>
          <w:color w:val="C01C1C"/>
          <w:u w:val="none"/>
        </w:rPr>
        <w:t>14.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120"/>
      </w:pPr>
      <w:r>
        <w:rPr>
          <w:b w:val="0"/>
          <w:i w:val="0"/>
          <w:color w:val="C01C1C"/>
          <w:u w:val="none"/>
        </w:rPr>
        <w:t>15.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Pr>
        <w:spacing w:after="120"/>
      </w:pPr>
      <w:r>
        <w:rPr>
          <w:b w:val="0"/>
          <w:i w:val="0"/>
          <w:color w:val="C01C1C"/>
          <w:u w:val="none"/>
        </w:rPr>
        <w:t>16. is there a house format for job aids this should follow, and does anything need to go on it that is not in the list above?</w:t>
      </w:r>
    </w:p>
    <w:p>
      <w:pPr>
        <w:spacing w:after="120"/>
      </w:pPr>
      <w:r>
        <w:rPr>
          <w:b w:val="0"/>
          <w:i w:val="0"/>
          <w:color w:val="C01C1C"/>
          <w:u w:val="none"/>
        </w:rPr>
        <w:t>17. a participant may go by a name that is not the one on their record because it is their name — chosen name, or a name that fits their gender identity, rather than a nickname. The lesson now covers this alongside street names and shortenings. Confirm the wording against LAHSA's guidance, and confirm what Clarity offers for it: an alias field, a preferred-name field, or neither.</w:t>
      </w:r>
    </w:p>
    <w:p>
      <w:pPr>
        <w:spacing w:after="120"/>
      </w:pPr>
      <w:r>
        <w:rPr>
          <w:b w:val="0"/>
          <w:i w:val="0"/>
          <w:color w:val="C01C1C"/>
          <w:u w:val="none"/>
        </w:rPr>
        <w:t>18. search returns participants from across the CoC, including people served only by other agencies. Is there guidance for end users on whose record they may open and when — a legitimate-purpose or minimum-necessary rule? A search lesson is where that would land, and this draft says nothing about it.</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Lesson Structure</w:t>
      </w:r>
    </w:p>
    <w:p>
      <w:pPr>
        <w:spacing w:after="20"/>
      </w:pPr>
      <w:r>
        <w:rPr>
          <w:b w:val="0"/>
          <w:i w:val="0"/>
          <w:u w:val="none"/>
        </w:rPr>
        <w:t xml:space="preserve">      1.5  Before You Start</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When Search Comes Up Empty</w:t>
      </w:r>
    </w:p>
    <w:p>
      <w:pPr>
        <w:spacing w:after="20"/>
      </w:pPr>
      <w:r>
        <w:rPr>
          <w:b w:val="0"/>
          <w:i w:val="0"/>
          <w:u w:val="none"/>
        </w:rPr>
        <w:t xml:space="preserve">      6.1  Alternate Names</w:t>
      </w:r>
    </w:p>
    <w:p>
      <w:pPr>
        <w:spacing w:after="20"/>
      </w:pPr>
      <w:r>
        <w:rPr>
          <w:b w:val="0"/>
          <w:i w:val="0"/>
          <w:u w:val="none"/>
        </w:rPr>
        <w:t xml:space="preserve">      6.2  Alternate Spellings</w:t>
      </w:r>
    </w:p>
    <w:p>
      <w:pPr>
        <w:spacing w:after="20"/>
      </w:pPr>
      <w:r>
        <w:rPr>
          <w:b w:val="0"/>
          <w:i w:val="0"/>
          <w:u w:val="none"/>
        </w:rPr>
        <w:t xml:space="preserve">      6.3  Start Over From a Different Fact</w:t>
      </w:r>
    </w:p>
    <w:p>
      <w:pPr>
        <w:spacing w:after="20"/>
      </w:pPr>
      <w:r>
        <w:rPr>
          <w:b w:val="0"/>
          <w:i w:val="0"/>
          <w:u w:val="none"/>
        </w:rPr>
        <w:t xml:space="preserve">      6.4  Street Outreach: Searching by Location</w:t>
      </w:r>
    </w:p>
    <w:p>
      <w:pPr>
        <w:spacing w:after="20"/>
      </w:pPr>
      <w:r>
        <w:rPr>
          <w:b w:val="0"/>
          <w:i w:val="0"/>
          <w:u w:val="none"/>
        </w:rPr>
        <w:t xml:space="preserve">      6.5  Ask Your Data Staff</w:t>
      </w:r>
    </w:p>
    <w:p>
      <w:pPr>
        <w:spacing w:after="20"/>
      </w:pPr>
      <w:r>
        <w:rPr>
          <w:b w:val="0"/>
          <w:i w:val="0"/>
          <w:u w:val="none"/>
        </w:rPr>
        <w:t xml:space="preserve">      6.6  Only Then, Create a Record</w:t>
      </w:r>
    </w:p>
    <w:p>
      <w:pPr>
        <w:spacing w:after="40"/>
      </w:pPr>
      <w:r>
        <w:rPr>
          <w:b/>
          <w:i w:val="0"/>
          <w:u w:val="none"/>
        </w:rPr>
        <w:t>7. How the Practice Tool Is Built</w:t>
      </w:r>
    </w:p>
    <w:p>
      <w:pPr>
        <w:spacing w:after="20"/>
      </w:pPr>
      <w:r>
        <w:rPr>
          <w:b w:val="0"/>
          <w:i w:val="0"/>
          <w:u w:val="none"/>
        </w:rPr>
        <w:t xml:space="preserve">      7.1  Only What This Lesson Needs</w:t>
      </w:r>
    </w:p>
    <w:p>
      <w:pPr>
        <w:spacing w:after="20"/>
      </w:pPr>
      <w:r>
        <w:rPr>
          <w:b w:val="0"/>
          <w:i w:val="0"/>
          <w:u w:val="none"/>
        </w:rPr>
        <w:t xml:space="preserve">      7.2  Earning the Rest</w:t>
      </w:r>
    </w:p>
    <w:p>
      <w:pPr>
        <w:spacing w:after="40"/>
      </w:pPr>
      <w:r>
        <w:rPr>
          <w:b/>
          <w:i w:val="0"/>
          <w:u w:val="none"/>
        </w:rPr>
        <w:t>8. Practice: Finding a Participant</w:t>
      </w:r>
    </w:p>
    <w:p>
      <w:pPr>
        <w:spacing w:after="20"/>
      </w:pPr>
      <w:r>
        <w:rPr>
          <w:b w:val="0"/>
          <w:i w:val="0"/>
          <w:u w:val="none"/>
        </w:rPr>
        <w:t xml:space="preserve">      8.1  How the Practice Works</w:t>
      </w:r>
    </w:p>
    <w:p>
      <w:pPr>
        <w:spacing w:after="20"/>
      </w:pPr>
      <w:r>
        <w:rPr>
          <w:b w:val="0"/>
          <w:i w:val="0"/>
          <w:u w:val="none"/>
        </w:rPr>
        <w:t xml:space="preserve">      8.2  Task 1 — The Name He Gave You</w:t>
      </w:r>
    </w:p>
    <w:p>
      <w:pPr>
        <w:spacing w:after="20"/>
      </w:pPr>
      <w:r>
        <w:rPr>
          <w:b w:val="0"/>
          <w:i w:val="0"/>
          <w:u w:val="none"/>
        </w:rPr>
        <w:t xml:space="preserve">      8.3  Task 2 — When the Last Name May Have Changed</w:t>
      </w:r>
    </w:p>
    <w:p>
      <w:pPr>
        <w:spacing w:after="20"/>
      </w:pPr>
      <w:r>
        <w:rPr>
          <w:b w:val="0"/>
          <w:i w:val="0"/>
          <w:u w:val="none"/>
        </w:rPr>
        <w:t xml:space="preserve">      8.4  Task 3 — Starting From the Last Four of the SSN</w:t>
      </w:r>
    </w:p>
    <w:p>
      <w:pPr>
        <w:spacing w:after="20"/>
      </w:pPr>
      <w:r>
        <w:rPr>
          <w:b w:val="0"/>
          <w:i w:val="0"/>
          <w:u w:val="none"/>
        </w:rPr>
        <w:t xml:space="preserve">      8.5  Task 4 — A Name You Cannot Spell</w:t>
      </w:r>
    </w:p>
    <w:p>
      <w:pPr>
        <w:spacing w:after="20"/>
      </w:pPr>
      <w:r>
        <w:rPr>
          <w:b w:val="0"/>
          <w:i w:val="0"/>
          <w:u w:val="none"/>
        </w:rPr>
        <w:t xml:space="preserve">      8.6  Task 5 — Too Many Results</w:t>
      </w:r>
    </w:p>
    <w:p>
      <w:pPr>
        <w:spacing w:after="20"/>
      </w:pPr>
      <w:r>
        <w:rPr>
          <w:b w:val="0"/>
          <w:i w:val="0"/>
          <w:u w:val="none"/>
        </w:rPr>
        <w:t xml:space="preserve">      8.7  Task 6 — Nothing Comes Back</w:t>
      </w:r>
    </w:p>
    <w:p>
      <w:pPr>
        <w:spacing w:after="20"/>
      </w:pPr>
      <w:r>
        <w:rPr>
          <w:b w:val="0"/>
          <w:i w:val="0"/>
          <w:u w:val="none"/>
        </w:rPr>
        <w:t xml:space="preserve">      8.8  Task 7 — Spelled the Way Someone Else Heard It</w:t>
      </w:r>
    </w:p>
    <w:p>
      <w:pPr>
        <w:spacing w:after="20"/>
      </w:pPr>
      <w:r>
        <w:rPr>
          <w:b w:val="0"/>
          <w:i w:val="0"/>
          <w:u w:val="none"/>
        </w:rPr>
        <w:t xml:space="preserve">      8.9  Task 8 — A Surname Typed as One Word</w:t>
      </w:r>
    </w:p>
    <w:p>
      <w:pPr>
        <w:spacing w:after="20"/>
      </w:pPr>
      <w:r>
        <w:rPr>
          <w:b w:val="0"/>
          <w:i w:val="0"/>
          <w:u w:val="none"/>
        </w:rPr>
        <w:t xml:space="preserve">      8.10  Checkpoint: From Finding to Verifying</w:t>
      </w:r>
    </w:p>
    <w:p>
      <w:pPr>
        <w:spacing w:after="40"/>
      </w:pPr>
      <w:r>
        <w:rPr>
          <w:b/>
          <w:i w:val="0"/>
          <w:u w:val="none"/>
        </w:rPr>
        <w:t>9. Verify: Is This the Right Person?</w:t>
      </w:r>
    </w:p>
    <w:p>
      <w:pPr>
        <w:spacing w:after="20"/>
      </w:pPr>
      <w:r>
        <w:rPr>
          <w:b w:val="0"/>
          <w:i w:val="0"/>
          <w:u w:val="none"/>
        </w:rPr>
        <w:t xml:space="preserve">      9.1  First Level: Photo and Documents</w:t>
      </w:r>
    </w:p>
    <w:p>
      <w:pPr>
        <w:spacing w:after="20"/>
      </w:pPr>
      <w:r>
        <w:rPr>
          <w:b w:val="0"/>
          <w:i w:val="0"/>
          <w:u w:val="none"/>
        </w:rPr>
        <w:t xml:space="preserve">      9.2  Second Level: Two of Three</w:t>
      </w:r>
    </w:p>
    <w:p>
      <w:pPr>
        <w:spacing w:after="20"/>
      </w:pPr>
      <w:r>
        <w:rPr>
          <w:b w:val="0"/>
          <w:i w:val="0"/>
          <w:u w:val="none"/>
        </w:rPr>
        <w:t xml:space="preserve">      9.3  Still Unsure</w:t>
      </w:r>
    </w:p>
    <w:p>
      <w:pPr>
        <w:spacing w:after="20"/>
      </w:pPr>
      <w:r>
        <w:rPr>
          <w:b w:val="0"/>
          <w:i w:val="0"/>
          <w:u w:val="none"/>
        </w:rPr>
        <w:t xml:space="preserve">      9.4  If You Later Find You Were Wrong</w:t>
      </w:r>
    </w:p>
    <w:p>
      <w:pPr>
        <w:spacing w:after="20"/>
      </w:pPr>
      <w:r>
        <w:rPr>
          <w:b w:val="0"/>
          <w:i w:val="0"/>
          <w:u w:val="none"/>
        </w:rPr>
        <w:t xml:space="preserve">      9.5  Record the Match, Then Keep Looking</w:t>
      </w:r>
    </w:p>
    <w:p>
      <w:pPr>
        <w:spacing w:after="40"/>
      </w:pPr>
      <w:r>
        <w:rPr>
          <w:b/>
          <w:i w:val="0"/>
          <w:u w:val="none"/>
        </w:rPr>
        <w:t>10. What You Found</w:t>
      </w:r>
    </w:p>
    <w:p>
      <w:pPr>
        <w:spacing w:after="20"/>
      </w:pPr>
      <w:r>
        <w:rPr>
          <w:b w:val="0"/>
          <w:i w:val="0"/>
          <w:u w:val="none"/>
        </w:rPr>
        <w:t xml:space="preserve">      10.1  No Matching Record</w:t>
      </w:r>
    </w:p>
    <w:p>
      <w:pPr>
        <w:spacing w:after="20"/>
      </w:pPr>
      <w:r>
        <w:rPr>
          <w:b w:val="0"/>
          <w:i w:val="0"/>
          <w:u w:val="none"/>
        </w:rPr>
        <w:t xml:space="preserve">      10.2  One Matching Record</w:t>
      </w:r>
    </w:p>
    <w:p>
      <w:pPr>
        <w:spacing w:after="20"/>
      </w:pPr>
      <w:r>
        <w:rPr>
          <w:b w:val="0"/>
          <w:i w:val="0"/>
          <w:u w:val="none"/>
        </w:rPr>
        <w:t xml:space="preserve">      10.3  Several Matching Records</w:t>
      </w:r>
    </w:p>
    <w:p>
      <w:pPr>
        <w:spacing w:after="20"/>
      </w:pPr>
      <w:r>
        <w:rPr>
          <w:b w:val="0"/>
          <w:i w:val="0"/>
          <w:u w:val="none"/>
        </w:rPr>
        <w:t xml:space="preserve">      10.4  Choosing Which Record to Work From</w:t>
      </w:r>
    </w:p>
    <w:p>
      <w:pPr>
        <w:spacing w:after="40"/>
      </w:pPr>
      <w:r>
        <w:rPr>
          <w:b/>
          <w:i w:val="0"/>
          <w:u w:val="none"/>
        </w:rPr>
        <w:t>11. Practice: Verifying a Record</w:t>
      </w:r>
    </w:p>
    <w:p>
      <w:pPr>
        <w:spacing w:after="20"/>
      </w:pPr>
      <w:r>
        <w:rPr>
          <w:b w:val="0"/>
          <w:i w:val="0"/>
          <w:u w:val="none"/>
        </w:rPr>
        <w:t xml:space="preserve">      11.1  Task 9 — Two People, One Name</w:t>
      </w:r>
    </w:p>
    <w:p>
      <w:pPr>
        <w:spacing w:after="20"/>
      </w:pPr>
      <w:r>
        <w:rPr>
          <w:b w:val="0"/>
          <w:i w:val="0"/>
          <w:u w:val="none"/>
        </w:rPr>
        <w:t xml:space="preserve">      11.2  Task 10 — When the Identifiers Are Thin</w:t>
      </w:r>
    </w:p>
    <w:p>
      <w:pPr>
        <w:spacing w:after="20"/>
      </w:pPr>
      <w:r>
        <w:rPr>
          <w:b w:val="0"/>
          <w:i w:val="0"/>
          <w:u w:val="none"/>
        </w:rPr>
        <w:t xml:space="preserve">      11.3  Task 11 — Where They Have Been Staying</w:t>
      </w:r>
    </w:p>
    <w:p>
      <w:pPr>
        <w:spacing w:after="20"/>
      </w:pPr>
      <w:r>
        <w:rPr>
          <w:b w:val="0"/>
          <w:i w:val="0"/>
          <w:u w:val="none"/>
        </w:rPr>
        <w:t xml:space="preserve">      11.4  Task 12 — Everything at Once</w:t>
      </w:r>
    </w:p>
    <w:p>
      <w:pPr>
        <w:spacing w:after="20"/>
      </w:pPr>
      <w:r>
        <w:rPr>
          <w:b w:val="0"/>
          <w:i w:val="0"/>
          <w:u w:val="none"/>
        </w:rPr>
        <w:t xml:space="preserve">      11.5  Task 13 — More Than One Record Matches</w:t>
      </w:r>
    </w:p>
    <w:p>
      <w:pPr>
        <w:spacing w:after="20"/>
      </w:pPr>
      <w:r>
        <w:rPr>
          <w:b w:val="0"/>
          <w:i w:val="0"/>
          <w:u w:val="none"/>
        </w:rPr>
        <w:t xml:space="preserve">      11.6  Task 14 — Finding the Same Person Twice</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Take This With You</w:t>
      </w:r>
    </w:p>
    <w:p>
      <w:pPr>
        <w:spacing w:after="20"/>
      </w:pPr>
      <w:r>
        <w:rPr>
          <w:b w:val="0"/>
          <w:i w:val="0"/>
          <w:u w:val="none"/>
        </w:rPr>
        <w:t xml:space="preserve">      14.1  Why Accuracy on the Way In Matters</w:t>
      </w:r>
    </w:p>
    <w:p>
      <w:pPr>
        <w:spacing w:after="20"/>
      </w:pPr>
      <w:r>
        <w:rPr>
          <w:b w:val="0"/>
          <w:i w:val="0"/>
          <w:u w:val="none"/>
        </w:rPr>
        <w:t xml:space="preserve">      14.2  The One-Page Version</w:t>
      </w:r>
    </w:p>
    <w:p>
      <w:pPr>
        <w:spacing w:after="40"/>
      </w:pPr>
      <w:r>
        <w:rPr>
          <w:b/>
          <w:i w:val="0"/>
          <w:u w:val="none"/>
        </w:rPr>
        <w:t>15. Summary</w:t>
      </w:r>
    </w:p>
    <w:p>
      <w:pPr>
        <w:spacing w:after="20"/>
      </w:pPr>
      <w:r>
        <w:rPr>
          <w:b w:val="0"/>
          <w:i w:val="0"/>
          <w:u w:val="none"/>
        </w:rPr>
        <w:t xml:space="preserve">      15.1  What You Practiced</w:t>
      </w:r>
    </w:p>
    <w:p>
      <w:pPr>
        <w:spacing w:after="20"/>
      </w:pPr>
      <w:r>
        <w:rPr>
          <w:b w:val="0"/>
          <w:i w:val="0"/>
          <w:u w:val="none"/>
        </w:rPr>
        <w:t xml:space="preserve">      15.2  Lesson Closing</w:t>
      </w:r>
    </w:p>
    <w:p>
      <w:pPr>
        <w:spacing w:after="20"/>
      </w:pPr>
      <w:r>
        <w:rPr>
          <w:b w:val="0"/>
          <w:i w:val="0"/>
          <w:u w:val="none"/>
        </w:rPr>
        <w:t xml:space="preserve">      15.3  Survey</w:t>
      </w:r>
    </w:p>
    <w:p>
      <w:pPr>
        <w:spacing w:after="40"/>
      </w:pPr>
      <w:r>
        <w:rPr>
          <w:b/>
          <w:i w:val="0"/>
          <w:u w:val="none"/>
        </w:rPr>
        <w:t>16. Production Standards</w:t>
      </w:r>
    </w:p>
    <w:p>
      <w:pPr>
        <w:spacing w:after="20"/>
      </w:pPr>
      <w:r>
        <w:rPr>
          <w:b w:val="0"/>
          <w:i w:val="0"/>
          <w:u w:val="none"/>
        </w:rPr>
        <w:t xml:space="preserve">      16.1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forty minutes goes, measured from this script rather than estimated: narrated instruction 2,780 words, about 19 minutes at a normal pace. Task situations and feedback, which the learner reads rather than hears, about 8 minutes. Knowledge check about 2 and a half. The fourteen tasks themselves are the smallest part — around 7 minutes of actual interaction, because each one is a short search. Hints and the correct-record lines in this document are not learner-facing time at all.</w:t>
      </w:r>
    </w:p>
    <w:p>
      <w:pPr>
        <w:spacing w:after="160"/>
      </w:pPr>
      <w:r>
        <w:rPr>
          <w:b w:val="0"/>
          <w:i w:val="0"/>
          <w:color w:val="C01C1C"/>
          <w:u w:val="none"/>
        </w:rPr>
        <w:t>Open question 1: the brainstorm notes put an e-learning at about ten minutes, and this is forty. Worth knowing before that is treated as a problem: the practice is not what makes it long — the instruction is, at just over half the words, and most of that is groundwork the rest of the series stands on rather than material this lesson needs for itself. The lever that moves the number furthest is how much is narrated versus read: as narration the instruction runs about 19 minutes, as on-screen text about 12. Cutting tasks saves the least and costs the most.</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three objectives. By the end of it, you will</w:t>
      </w:r>
    </w:p>
    <w:p>
      <w:pPr>
        <w:pStyle w:val="ListNumber"/>
        <w:spacing w:after="40"/>
      </w:pPr>
      <w:r>
        <w:t>Say what HMIS is and what it is used for.</w:t>
      </w:r>
    </w:p>
    <w:p>
      <w:pPr>
        <w:pStyle w:val="ListNumber"/>
        <w:spacing w:after="40"/>
      </w:pPr>
      <w:r>
        <w:t>Use search properly, and explain why searching diligently matters.</w:t>
      </w:r>
    </w:p>
    <w:p>
      <w:pPr>
        <w:pStyle w:val="ListNumber"/>
        <w:spacing w:after="40"/>
      </w:pPr>
      <w:r>
        <w:t>Explain why capturing a participant's information accurately matters.</w:t>
      </w:r>
    </w:p>
    <w:p>
      <w:pPr>
        <w:spacing w:after="160"/>
      </w:pPr>
      <w:r>
        <w:rPr>
          <w:b w:val="0"/>
          <w:i w:val="0"/>
          <w:u w:val="none"/>
        </w:rPr>
        <w:t>Meeting these lays the groundwork for everything else in the series — every lesson that follows assumes you can find the right person first.</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1.5 – Before You Start</w:t>
      </w:r>
    </w:p>
    <w:p>
      <w:pPr>
        <w:spacing w:after="160"/>
      </w:pPr>
      <w:r>
        <w:rPr>
          <w:b w:val="0"/>
          <w:i w:val="0"/>
          <w:u w:val="none"/>
        </w:rPr>
        <w:t>One question before the lesson begins: which Continuum of Care do you work with?</w:t>
      </w:r>
    </w:p>
    <w:p>
      <w:pPr>
        <w:spacing w:after="160"/>
      </w:pPr>
      <w:r>
        <w:rPr>
          <w:b w:val="0"/>
          <w:i/>
          <w:u w:val="none"/>
        </w:rPr>
        <w:t>Single-select, asked on the opening screen and stored for the rest of the course. It decides which CoC the lesson names when it talks about the unduplicated count, and it is worth knowing who is taking this training.</w:t>
      </w:r>
    </w:p>
    <w:p>
      <w:pPr>
        <w:spacing w:after="160"/>
      </w:pPr>
      <w:r>
        <w:rPr>
          <w:b w:val="0"/>
          <w:i w:val="0"/>
          <w:color w:val="C01C1C"/>
          <w:u w:val="none"/>
        </w:rPr>
        <w:t>Open question 2: is a pre-survey required for this course, or is this an enrollment question rather than a lesson question? If enrollment already captures the learner's CoC, this screen should be dropped rather than asking for it twice.</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He tells you somebody came round a while back. Took his details, said they would be in touch. Nothing happened, and he does not remember the name of the agency or the worker.</w:t>
      </w:r>
    </w:p>
    <w:p>
      <w:pPr>
        <w:spacing w:after="160"/>
      </w:pPr>
      <w:r>
        <w:rPr>
          <w:b w:val="0"/>
          <w:i w:val="0"/>
          <w:u w:val="none"/>
        </w:rPr>
        <w:t>That last part is the part to notice. If a provider took his details, there is very likely already a record — a contact, an outreach note, something with his name on it. He is not new to this system even though he feels new to you.</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Open question 3: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Open question 4: give the participant a name if the team has a persona it already uses.</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There is a harder edge to it than history. A participant's HMIS record can serve as third-party documentation of their homelessness — a stay in an emergency shelter or Safe Haven, or a contact recorded by a street outreach worker, is evidence of where they have been. That evidence is part of what qualifies them for housing. A duplicate splits it: the bed nights and contacts that prove their history sit on the record you did not find.</w:t>
      </w:r>
    </w:p>
    <w:p>
      <w:pPr>
        <w:spacing w:after="160"/>
      </w:pPr>
      <w:r>
        <w:rPr>
          <w:b w:val="0"/>
          <w:i w:val="0"/>
          <w:u w:val="none"/>
        </w:rPr>
        <w:t>Referrals work the same way. Coordinated entry rides on the client record, so a second record does not just lose the history — it separates the person from the referral.</w:t>
      </w:r>
    </w:p>
    <w:p>
      <w:pPr>
        <w:spacing w:after="160"/>
      </w:pPr>
      <w:r>
        <w:rPr>
          <w:b w:val="0"/>
          <w:i/>
          <w:u w:val="none"/>
        </w:rPr>
        <w:t>Sourced; a source link goes here in the sourcing pass.</w:t>
      </w:r>
    </w:p>
    <w:p>
      <w:pPr>
        <w:spacing w:after="160"/>
      </w:pPr>
      <w:r>
        <w:rPr>
          <w:b w:val="0"/>
          <w:i w:val="0"/>
          <w:u w:val="none"/>
        </w:rPr>
        <w:t>And a duplicate is not a tidy-up job. Once two records exist for one person, somebody has to investigate which is which, work out what happened on each, and clean it up — and that is a long process, measured in weeks rather than minutes. While it runs, the person is the one waiting.</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and Client</w:t>
      </w:r>
    </w:p>
    <w:p>
      <w:pPr>
        <w:spacing w:after="160"/>
      </w:pPr>
      <w:r>
        <w:rPr>
          <w:b w:val="0"/>
          <w:i w:val="0"/>
          <w:u w:val="none"/>
        </w:rPr>
        <w:t>This lesson says participant. The software says Client. They mean the same person. Both are correct — one is how we talk about people, the other is what the screen is labelled.</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Open question 5: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refused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160"/>
      </w:pPr>
      <w:r>
        <w:rPr>
          <w:b w:val="0"/>
          <w:i w:val="0"/>
          <w:color w:val="C01C1C"/>
          <w:u w:val="none"/>
        </w:rPr>
        <w:t>Open question 6: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dimmed in the simulation for this lesson — see Building It Up, below. Nothing needs to be said about it, so nothing is.</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Open question 7: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Slide 6.1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color w:val="C01C1C"/>
          <w:u w:val="none"/>
        </w:rPr>
        <w:t>Open question 17: a participant may go by a name that is not the one on their record because it is their name — chosen name, or a name that fits their gender identity, rather than a nickname. The lesson now covers this alongside street names and shortenings. Confirm the wording against LAHSA's guidance, and confirm what Clarity offers for it: an alias field, a preferred-name field, or neither.</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Slide 6.2 – 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Slide 6.3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Slide 6.4 – 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simulation. Taught with a short screen recording — enough to know the search exists and when to reach for it.</w:t>
      </w:r>
    </w:p>
    <w:p>
      <w:pPr>
        <w:spacing w:after="160"/>
      </w:pPr>
      <w:r>
        <w:rPr>
          <w:b w:val="0"/>
          <w:i w:val="0"/>
          <w:color w:val="C01C1C"/>
          <w:u w:val="none"/>
        </w:rPr>
        <w:t>Open question 8: should the Outreach module be demonstrated here, or held for a dedicated outreach lesson? It is the one step in this list the practice cannot cover.</w:t>
      </w:r>
    </w:p>
    <w:p>
      <w:pPr>
        <w:spacing w:after="80"/>
      </w:pPr>
      <w:r>
        <w:rPr>
          <w:b/>
          <w:i w:val="0"/>
          <w:u w:val="none"/>
        </w:rPr>
        <w:t>Slide 6.5 – 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Slide 6.6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its own lesson, and the create form is dimmed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Slide 7.1 – Only What This Lesson Needs</w:t>
      </w:r>
    </w:p>
    <w:p>
      <w:pPr>
        <w:spacing w:after="160"/>
      </w:pPr>
      <w:r>
        <w:rPr>
          <w:b w:val="0"/>
          <w:i w:val="0"/>
          <w:u w:val="none"/>
        </w:rPr>
        <w:t>The practice version of Clarity shows the whole screen, because that is what you will see at work. But the parts this lesson does not use are dimmed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Dimming the rest means there is never a moment in this lesson where something is on screen that we have to explain away, or promise to cover another time.</w:t>
      </w:r>
    </w:p>
    <w:p>
      <w:pPr>
        <w:spacing w:after="80"/>
      </w:pPr>
      <w:r>
        <w:rPr>
          <w:b w:val="0"/>
          <w:i w:val="0"/>
          <w:u w:val="single"/>
        </w:rPr>
        <w:t>What is dimmed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7.2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dimmed area brightens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Pr>
        <w:spacing w:after="160"/>
      </w:pPr>
      <w:r>
        <w:rPr>
          <w:b w:val="0"/>
          <w:i w:val="0"/>
          <w:color w:val="C01C1C"/>
          <w:u w:val="none"/>
        </w:rPr>
        <w:t>Open question 9: is there appetite for the unlock treatment across the series? It is the one thing here that needs a decision before the second lesson is built rather than after.</w:t>
      </w:r>
    </w:p>
    <w:p/>
    <w:p>
      <w:pPr>
        <w:spacing w:after="160"/>
      </w:pPr>
      <w:r>
        <w:rPr>
          <w:b/>
          <w:i w:val="0"/>
          <w:u w:val="single"/>
        </w:rPr>
        <w:t>Practice: Finding a Participant</w:t>
      </w:r>
    </w:p>
    <w:p>
      <w:pPr>
        <w:spacing w:after="80"/>
      </w:pPr>
      <w:r>
        <w:rPr>
          <w:b/>
          <w:i w:val="0"/>
          <w:u w:val="none"/>
        </w:rPr>
        <w:t>Slide 8.1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fourteen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Open question 10: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Slide 8.2 – 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Slide 8.3 – 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Slide 8.4 – 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Slide 8.5 – 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Slide 8.6 – 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Slide 8.7 – 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Slide 8.8 – 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Slide 8.9 – 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Slide 8.10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9.1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9.2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9.3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9.4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Open question 11: is this the right route for a mis-identified record — the same HMIS Support ticket as a duplicate, or a different process? The draft does not cover it and it happens.</w:t>
      </w:r>
    </w:p>
    <w:p>
      <w:pPr>
        <w:spacing w:after="160"/>
      </w:pPr>
      <w:r>
        <w:rPr>
          <w:b w:val="0"/>
          <w:i w:val="0"/>
          <w:color w:val="C01C1C"/>
          <w:u w:val="none"/>
        </w:rPr>
        <w:t>Open question 12: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80"/>
      </w:pPr>
      <w:r>
        <w:rPr>
          <w:b/>
          <w:i w:val="0"/>
          <w:u w:val="none"/>
        </w:rPr>
        <w:t>Slide 9.5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10.1 – No Matching Record</w:t>
      </w:r>
    </w:p>
    <w:p>
      <w:pPr>
        <w:spacing w:after="160"/>
      </w:pPr>
      <w:r>
        <w:rPr>
          <w:b w:val="0"/>
          <w:i w:val="0"/>
          <w:u w:val="none"/>
        </w:rPr>
        <w:t>Create a new HMIS record for this participant.</w:t>
      </w:r>
    </w:p>
    <w:p>
      <w:pPr>
        <w:spacing w:after="80"/>
      </w:pPr>
      <w:r>
        <w:rPr>
          <w:b/>
          <w:i w:val="0"/>
          <w:u w:val="none"/>
        </w:rPr>
        <w:t>Slide 10.2 – One Matching Record</w:t>
      </w:r>
    </w:p>
    <w:p>
      <w:pPr>
        <w:spacing w:after="160"/>
      </w:pPr>
      <w:r>
        <w:rPr>
          <w:b w:val="0"/>
          <w:i w:val="0"/>
          <w:u w:val="none"/>
        </w:rPr>
        <w:t>Assume it is the correct one and work from it.</w:t>
      </w:r>
    </w:p>
    <w:p>
      <w:pPr>
        <w:spacing w:after="80"/>
      </w:pPr>
      <w:r>
        <w:rPr>
          <w:b/>
          <w:i w:val="0"/>
          <w:u w:val="none"/>
        </w:rPr>
        <w:t>Slide 10.3 – Several Matching Records</w:t>
      </w:r>
    </w:p>
    <w:p>
      <w:pPr>
        <w:spacing w:after="160"/>
      </w:pPr>
      <w:r>
        <w:rPr>
          <w:b w:val="0"/>
          <w:i w:val="0"/>
          <w:u w:val="none"/>
        </w:rPr>
        <w:t>Choose one to work from, and report the rest.</w:t>
      </w:r>
    </w:p>
    <w:p>
      <w:pPr>
        <w:spacing w:after="80"/>
      </w:pPr>
      <w:r>
        <w:rPr>
          <w:b/>
          <w:i w:val="0"/>
          <w:u w:val="none"/>
        </w:rPr>
        <w:t>Slide 10.4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Six more situations. This time finding a candidate record is the easy half — the question is whether it is the right person, and what to do when more than one record could be.</w:t>
      </w:r>
    </w:p>
    <w:p>
      <w:pPr>
        <w:spacing w:after="80"/>
      </w:pPr>
      <w:r>
        <w:rPr>
          <w:b/>
          <w:i w:val="0"/>
          <w:u w:val="none"/>
        </w:rPr>
        <w:t>Slide 11.1 – 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Slide 11.2 – 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Slide 11.3 – 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160"/>
      </w:pPr>
      <w:r>
        <w:rPr>
          <w:b w:val="0"/>
          <w:i w:val="0"/>
          <w:color w:val="C01C1C"/>
          <w:u w:val="none"/>
        </w:rPr>
        <w:t>Open question 13: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80"/>
      </w:pPr>
      <w:r>
        <w:rPr>
          <w:b/>
          <w:i w:val="0"/>
          <w:u w:val="none"/>
        </w:rPr>
        <w:t>Slide 11.4 – Task 12 — Everything at Once</w:t>
      </w:r>
    </w:p>
    <w:p>
      <w:pPr>
        <w:spacing w:after="160"/>
      </w:pPr>
      <w:r>
        <w:rPr>
          <w:b w:val="0"/>
          <w:i/>
          <w:u w:val="none"/>
        </w:rPr>
        <w:t>Draft reference: alternate names, alternate spellings, and confirming other information in the record when the identifiers will not settle it.</w:t>
      </w:r>
    </w:p>
    <w:p>
      <w:pPr>
        <w:spacing w:after="80"/>
      </w:pPr>
      <w:r>
        <w:rPr>
          <w:b w:val="0"/>
          <w:i w:val="0"/>
          <w:u w:val="single"/>
        </w:rPr>
        <w:t>The situation, as the learner sees it</w:t>
      </w:r>
    </w:p>
    <w:p>
      <w:pPr>
        <w:spacing w:after="160"/>
      </w:pPr>
      <w:r>
        <w:rPr>
          <w:b w:val="0"/>
          <w:i w:val="0"/>
          <w:u w:val="none"/>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Nothing you have been given will find him on its own. Search the surname fragment you are least sure of least — Rey — and use the year and the veteran flag to cut the list down.</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This is the real thing. No date of birth, no Social Security Number, a street name that is on no record, and a surname three plausible spellings deep. What is left is a fragment, a year, and one fact he volunteered.</w:t>
      </w:r>
    </w:p>
    <w:p>
      <w:pPr>
        <w:spacing w:after="160"/>
      </w:pPr>
      <w:r>
        <w:rPr>
          <w:b w:val="0"/>
          <w:i w:val="0"/>
          <w:u w:val="none"/>
        </w:rPr>
        <w:t>Veteran status is a field on the record, and it is worth remembering precisely because it is the kind of thing people tell you without being asked. When the identifiers are thin, the thing they mentioned in passing is often what closes it.</w:t>
      </w:r>
    </w:p>
    <w:p>
      <w:pPr>
        <w:spacing w:after="160"/>
      </w:pPr>
      <w:r>
        <w:rPr>
          <w:b w:val="0"/>
          <w:i w:val="0"/>
          <w:u w:val="none"/>
        </w:rPr>
        <w:t>And notice what you did not do. You did not conclude he was new because three searches came back empty.</w:t>
      </w:r>
    </w:p>
    <w:p>
      <w:pPr>
        <w:spacing w:after="160"/>
      </w:pPr>
      <w:r>
        <w:rPr>
          <w:b w:val="0"/>
          <w:i w:val="0"/>
          <w:color w:val="C01C1C"/>
          <w:u w:val="none"/>
        </w:rPr>
        <w:t>Open question 14: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80"/>
      </w:pPr>
      <w:r>
        <w:rPr>
          <w:b/>
          <w:i w:val="0"/>
          <w:u w:val="none"/>
        </w:rPr>
        <w:t>Slide 11.5 – Task 13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Slide 11.6 – Task 14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Open question 15: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Slide 14.1 – Why Accuracy on the Way In Matters</w:t>
      </w:r>
    </w:p>
    <w:p>
      <w:pPr>
        <w:spacing w:after="160"/>
      </w:pPr>
      <w:r>
        <w:rPr>
          <w:b w:val="0"/>
          <w:i w:val="0"/>
          <w:u w:val="none"/>
        </w:rPr>
        <w:t>This lesson is about finding someone. But every record you can find was typed by somebody who came before you, and the reason you can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w:t>
      </w:r>
    </w:p>
    <w:p>
      <w:pPr>
        <w:spacing w:after="80"/>
      </w:pPr>
      <w:r>
        <w:rPr>
          <w:b/>
          <w:i w:val="0"/>
          <w:u w:val="none"/>
        </w:rPr>
        <w:t>Slide 14.2 – 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Open question 16: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Slide 15.1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15.2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15.3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16.1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 dimmed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dimmed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dimming treatment described earlier is the one place where accessibility and design pull against each other — dimmed still has to be legible.</w:t>
      </w:r>
    </w:p>
    <w:p>
      <w:pPr>
        <w:spacing w:after="160"/>
      </w:pPr>
      <w:r>
        <w:rPr>
          <w:b w:val="0"/>
          <w:i w:val="0"/>
          <w:color w:val="C01C1C"/>
          <w:u w:val="none"/>
        </w:rPr>
        <w:t>Open question 18: search returns participants from across the CoC, including people served only by other agencies. Is there guidance for end users on whose record they may open and when — a legitimate-purpose or minimum-necessary rule? A search lesson is where that would land, and this draft says nothing about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