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ПРОВЕРКА АДРЕСОВ</w:t>
      </w:r>
    </w:p>
    <w:p>
      <w:r>
        <w:rPr>
          <w:sz w:val="22"/>
        </w:rPr>
        <w:t>Адрес: 394018, г. Воронеж, ул. Кирова, д. 4, оф. 12</w:t>
      </w:r>
    </w:p>
    <w:p>
      <w:r>
        <w:rPr>
          <w:sz w:val="22"/>
        </w:rPr>
        <w:t>Адрес регистрации: 394024, Воронежская область, г Воронеж, пер Здоровья, д 86а, кв 95</w:t>
      </w:r>
    </w:p>
    <w:p>
      <w:r>
        <w:rPr>
          <w:sz w:val="22"/>
        </w:rPr>
        <w:t>Адрес: г. Воронеж, ул. Мира, 12</w:t>
      </w:r>
    </w:p>
    <w:p>
      <w:r>
        <w:rPr>
          <w:sz w:val="22"/>
        </w:rPr>
        <w:t>Адрес: г. Воронеж</w:t>
      </w:r>
    </w:p>
    <w:p>
      <w:r>
        <w:rPr>
          <w:sz w:val="22"/>
        </w:rPr>
        <w:t>г. Воронеж, 15 января 2026 г.</w:t>
      </w:r>
    </w:p>
    <w:p>
      <w:r>
        <w:rPr>
          <w:sz w:val="22"/>
        </w:rPr>
        <w:t>место рождения: гор. Старый Оскол Белгородской обл.</w:t>
      </w:r>
    </w:p>
    <w:p>
      <w:r>
        <w:rPr>
          <w:sz w:val="22"/>
        </w:rPr>
        <w:t>Адрес: 394018, г. Воронеж, ул. Кирова, д. 4, оф. 12, ИНН 3662103003</w:t>
      </w:r>
    </w:p>
    <w:p>
      <w:r>
        <w:rPr>
          <w:sz w:val="22"/>
        </w:rPr>
        <w:t>ИНН: 312822458000 , адрес регистрации по месту жительства: 394024, Воронежская область, г Воронеж, пер Здоровья, д 86а, кв 95 ) Атараев Б.М., именуемый в дальнейшем «Продавец»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адрес регистрации по месту жительства:</w:t>
            </w:r>
          </w:p>
          <w:p>
            <w:r>
              <w:t>309512, Белгородская область, г. Старый Оскол,</w:t>
            </w:r>
          </w:p>
          <w:p>
            <w:r>
              <w:t>мкр. Жукова, д. 20, кв. 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адресов</dc:title>
  <dc:subject/>
  <dc:creator>Синтетический корпус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