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磁特性综合实验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213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19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3"/>
        <w:tblW w:w="95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553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553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553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553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6" w:hRule="atLeast"/>
        </w:trPr>
        <w:tc>
          <w:tcPr>
            <w:tcW w:w="9553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  <w:t>磁化曲线数据记录</w:t>
            </w:r>
          </w:p>
          <w:tbl>
            <w:tblPr>
              <w:tblStyle w:val="4"/>
              <w:tblW w:w="93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37"/>
              <w:gridCol w:w="1037"/>
              <w:gridCol w:w="1037"/>
              <w:gridCol w:w="1037"/>
              <w:gridCol w:w="1037"/>
              <w:gridCol w:w="1038"/>
              <w:gridCol w:w="1038"/>
              <w:gridCol w:w="1038"/>
              <w:gridCol w:w="10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UX/mV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H/</w:t>
                  </w:r>
                  <w:r>
                    <w:rPr>
                      <w:rFonts w:hint="eastAsia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(</w:t>
                  </w: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A/m</w:t>
                  </w:r>
                  <w:r>
                    <w:rPr>
                      <w:rFonts w:hint="eastAsia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)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UY/mV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B/mT</w:t>
                  </w: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7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38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UX/mV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H/</w:t>
                  </w:r>
                  <w:r>
                    <w:rPr>
                      <w:rFonts w:hint="eastAsia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(</w:t>
                  </w: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A/m</w:t>
                  </w:r>
                  <w:r>
                    <w:rPr>
                      <w:rFonts w:hint="eastAsia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)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UY/mV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B/mT</w:t>
                  </w: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7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03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</w:p>
              </w:tc>
            </w:tr>
          </w:tbl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lang w:val="en-US" w:eastAsia="zh-CN"/>
              </w:rPr>
              <w:t>磁滞回路数据记录</w:t>
            </w:r>
          </w:p>
          <w:tbl>
            <w:tblPr>
              <w:tblStyle w:val="4"/>
              <w:tblW w:w="93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33"/>
              <w:gridCol w:w="933"/>
              <w:gridCol w:w="933"/>
              <w:gridCol w:w="934"/>
              <w:gridCol w:w="934"/>
              <w:gridCol w:w="934"/>
              <w:gridCol w:w="934"/>
              <w:gridCol w:w="934"/>
              <w:gridCol w:w="934"/>
              <w:gridCol w:w="9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UX/mV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18"/>
                      <w:szCs w:val="18"/>
                      <w:vertAlign w:val="baseline"/>
                      <w:lang w:val="en-US" w:eastAsia="zh-CN"/>
                    </w:rPr>
                    <w:t>H/(A/m)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UY/mV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B/mT</w:t>
                  </w:r>
                </w:p>
              </w:tc>
              <w:tc>
                <w:tcPr>
                  <w:tcW w:w="934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934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UX/mV</w:t>
                  </w:r>
                </w:p>
              </w:tc>
              <w:tc>
                <w:tcPr>
                  <w:tcW w:w="934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18"/>
                      <w:szCs w:val="18"/>
                      <w:vertAlign w:val="baseline"/>
                      <w:lang w:val="en-US" w:eastAsia="zh-CN"/>
                    </w:rPr>
                    <w:t>H/(A/m)</w:t>
                  </w:r>
                </w:p>
              </w:tc>
              <w:tc>
                <w:tcPr>
                  <w:tcW w:w="934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1"/>
                      <w:szCs w:val="21"/>
                      <w:vertAlign w:val="baseline"/>
                      <w:lang w:val="en-US" w:eastAsia="zh-CN"/>
                    </w:rPr>
                    <w:t>UY/mV</w:t>
                  </w:r>
                </w:p>
              </w:tc>
              <w:tc>
                <w:tcPr>
                  <w:tcW w:w="934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B/mT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22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23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25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26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27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28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default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29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33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360" w:lineRule="auto"/>
                    <w:ind w:left="0" w:leftChars="0" w:firstLine="0" w:firstLineChars="0"/>
                    <w:jc w:val="both"/>
                    <w:rPr>
                      <w:rFonts w:hint="eastAsia" w:ascii="华文楷体" w:hAnsi="华文楷体" w:eastAsia="华文楷体" w:cs="华文楷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3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  <w:t>30</w:t>
                  </w: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4" w:type="dxa"/>
                </w:tcPr>
                <w:p>
                  <w:pPr>
                    <w:widowControl w:val="0"/>
                    <w:numPr>
                      <w:numId w:val="0"/>
                    </w:numPr>
                    <w:spacing w:line="360" w:lineRule="auto"/>
                    <w:jc w:val="both"/>
                    <w:rPr>
                      <w:rFonts w:hint="default" w:ascii="华文楷体" w:hAnsi="华文楷体" w:eastAsia="华文楷体" w:cs="华文楷体"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华文楷体" w:hAnsi="华文楷体" w:eastAsia="华文楷体" w:cs="华文楷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553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553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553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55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55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738DB"/>
    <w:multiLevelType w:val="singleLevel"/>
    <w:tmpl w:val="882738D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8E9EF1"/>
    <w:multiLevelType w:val="singleLevel"/>
    <w:tmpl w:val="9F8E9EF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5C168FC"/>
    <w:multiLevelType w:val="singleLevel"/>
    <w:tmpl w:val="A5C168F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E67AFCC4"/>
    <w:multiLevelType w:val="singleLevel"/>
    <w:tmpl w:val="E67AFCC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1851"/>
    <w:rsid w:val="7FC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2021-05-17T16:12:00Z</dcterms:created>
  <dc:creator>Taki</dc:creator>
  <cp:lastModifiedBy>Taki</cp:lastModifiedBy>
  <dcterms:modified xsi:type="dcterms:W3CDTF">2021-05-17T16:37:28Z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