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深圳大学考试答题纸</w:t>
      </w:r>
    </w:p>
    <w:p>
      <w:pPr>
        <w:jc w:val="center"/>
        <w:rPr>
          <w:sz w:val="10"/>
          <w:szCs w:val="10"/>
        </w:rPr>
      </w:pPr>
      <w:r>
        <w:rPr>
          <w:rFonts w:hint="eastAsia"/>
          <w:sz w:val="24"/>
        </w:rPr>
        <w:t>(以论文、报告等形式考核专用)</w:t>
      </w:r>
      <w:r>
        <w:rPr>
          <w:sz w:val="24"/>
        </w:rPr>
        <w:br w:type="textWrapping"/>
      </w:r>
      <w:r>
        <w:rPr>
          <w:rFonts w:hint="eastAsia"/>
          <w:sz w:val="24"/>
        </w:rPr>
        <w:t>二○</w:t>
      </w:r>
      <w:r>
        <w:rPr>
          <w:rFonts w:hint="eastAsia"/>
          <w:sz w:val="24"/>
          <w:u w:val="single"/>
        </w:rPr>
        <w:t xml:space="preserve"> 二一     </w:t>
      </w:r>
      <w:r>
        <w:rPr>
          <w:rFonts w:hint="eastAsia"/>
          <w:sz w:val="24"/>
        </w:rPr>
        <w:t>～二○</w:t>
      </w:r>
      <w:r>
        <w:rPr>
          <w:rFonts w:hint="eastAsia"/>
          <w:sz w:val="24"/>
          <w:u w:val="single"/>
        </w:rPr>
        <w:t xml:space="preserve"> 二二      </w:t>
      </w:r>
      <w:r>
        <w:rPr>
          <w:rFonts w:hint="eastAsia"/>
          <w:sz w:val="24"/>
        </w:rPr>
        <w:t xml:space="preserve">  学年度第</w:t>
      </w:r>
      <w:r>
        <w:rPr>
          <w:rFonts w:hint="eastAsia"/>
          <w:sz w:val="24"/>
          <w:u w:val="single"/>
        </w:rPr>
        <w:t xml:space="preserve">  二   </w:t>
      </w:r>
      <w:r>
        <w:rPr>
          <w:rFonts w:hint="eastAsia"/>
          <w:sz w:val="24"/>
        </w:rPr>
        <w:t>学期</w:t>
      </w:r>
    </w:p>
    <w:tbl>
      <w:tblPr>
        <w:tblStyle w:val="5"/>
        <w:tblW w:w="9362" w:type="dxa"/>
        <w:jc w:val="center"/>
        <w:tblLayout w:type="fixed"/>
        <w:tblCellMar>
          <w:top w:w="0" w:type="dxa"/>
          <w:left w:w="108" w:type="dxa"/>
          <w:bottom w:w="0" w:type="dxa"/>
          <w:right w:w="108" w:type="dxa"/>
        </w:tblCellMar>
      </w:tblPr>
      <w:tblGrid>
        <w:gridCol w:w="1075"/>
        <w:gridCol w:w="78"/>
        <w:gridCol w:w="836"/>
        <w:gridCol w:w="244"/>
        <w:gridCol w:w="624"/>
        <w:gridCol w:w="397"/>
        <w:gridCol w:w="1100"/>
        <w:gridCol w:w="45"/>
        <w:gridCol w:w="1494"/>
        <w:gridCol w:w="349"/>
        <w:gridCol w:w="1134"/>
        <w:gridCol w:w="690"/>
        <w:gridCol w:w="160"/>
        <w:gridCol w:w="709"/>
        <w:gridCol w:w="427"/>
      </w:tblGrid>
      <w:tr>
        <w:tblPrEx>
          <w:tblCellMar>
            <w:top w:w="0" w:type="dxa"/>
            <w:left w:w="108" w:type="dxa"/>
            <w:bottom w:w="0" w:type="dxa"/>
            <w:right w:w="108" w:type="dxa"/>
          </w:tblCellMar>
        </w:tblPrEx>
        <w:trPr>
          <w:wBefore w:w="0" w:type="auto"/>
          <w:wAfter w:w="0" w:type="auto"/>
          <w:trHeight w:val="397" w:hRule="atLeast"/>
          <w:jc w:val="center"/>
        </w:trPr>
        <w:tc>
          <w:tcPr>
            <w:tcW w:w="1075" w:type="dxa"/>
            <w:noWrap w:val="0"/>
            <w:vAlign w:val="center"/>
          </w:tcPr>
          <w:p>
            <w:pPr>
              <w:rPr>
                <w:rFonts w:hint="eastAsia" w:eastAsia="楷体_GB2312"/>
                <w:szCs w:val="21"/>
              </w:rPr>
            </w:pPr>
            <w:r>
              <w:rPr>
                <w:rFonts w:hint="eastAsia" w:eastAsia="楷体_GB2312"/>
                <w:szCs w:val="21"/>
              </w:rPr>
              <w:t>课程编号</w:t>
            </w:r>
          </w:p>
        </w:tc>
        <w:tc>
          <w:tcPr>
            <w:tcW w:w="914" w:type="dxa"/>
            <w:gridSpan w:val="2"/>
            <w:tcBorders>
              <w:bottom w:val="single" w:color="auto" w:sz="4" w:space="0"/>
            </w:tcBorders>
            <w:noWrap w:val="0"/>
            <w:vAlign w:val="center"/>
          </w:tcPr>
          <w:p>
            <w:pPr>
              <w:rPr>
                <w:rFonts w:hint="eastAsia" w:eastAsia="楷体_GB2312"/>
                <w:szCs w:val="21"/>
              </w:rPr>
            </w:pPr>
            <w:r>
              <w:rPr>
                <w:sz w:val="13"/>
                <w:szCs w:val="13"/>
              </w:rPr>
              <w:t>1502770001-1502770005</w:t>
            </w:r>
          </w:p>
        </w:tc>
        <w:tc>
          <w:tcPr>
            <w:tcW w:w="868" w:type="dxa"/>
            <w:gridSpan w:val="2"/>
            <w:noWrap w:val="0"/>
            <w:vAlign w:val="center"/>
          </w:tcPr>
          <w:p>
            <w:pPr>
              <w:rPr>
                <w:rFonts w:hint="eastAsia" w:eastAsia="楷体_GB2312"/>
                <w:szCs w:val="21"/>
              </w:rPr>
            </w:pPr>
            <w:r>
              <w:rPr>
                <w:rFonts w:hint="eastAsia" w:eastAsia="楷体_GB2312"/>
                <w:szCs w:val="21"/>
              </w:rPr>
              <w:t>课序号</w:t>
            </w:r>
          </w:p>
        </w:tc>
        <w:tc>
          <w:tcPr>
            <w:tcW w:w="397" w:type="dxa"/>
            <w:tcBorders>
              <w:bottom w:val="single" w:color="auto" w:sz="4" w:space="0"/>
            </w:tcBorders>
            <w:noWrap w:val="0"/>
            <w:vAlign w:val="center"/>
          </w:tcPr>
          <w:p>
            <w:pPr>
              <w:rPr>
                <w:rFonts w:hint="default" w:eastAsia="楷体_GB2312"/>
                <w:szCs w:val="21"/>
                <w:lang w:val="en-US" w:eastAsia="zh-CN"/>
              </w:rPr>
            </w:pPr>
            <w:r>
              <w:rPr>
                <w:rFonts w:hint="eastAsia" w:eastAsia="楷体_GB2312"/>
                <w:szCs w:val="21"/>
                <w:lang w:val="en-US" w:eastAsia="zh-CN"/>
              </w:rPr>
              <w:t>5</w:t>
            </w:r>
          </w:p>
        </w:tc>
        <w:tc>
          <w:tcPr>
            <w:tcW w:w="1145" w:type="dxa"/>
            <w:gridSpan w:val="2"/>
            <w:noWrap w:val="0"/>
            <w:vAlign w:val="center"/>
          </w:tcPr>
          <w:p>
            <w:pPr>
              <w:rPr>
                <w:rFonts w:hint="eastAsia" w:eastAsia="楷体_GB2312"/>
                <w:szCs w:val="21"/>
              </w:rPr>
            </w:pPr>
            <w:r>
              <w:rPr>
                <w:rFonts w:hint="eastAsia" w:eastAsia="楷体_GB2312"/>
                <w:szCs w:val="21"/>
              </w:rPr>
              <w:t>课程名称</w:t>
            </w:r>
          </w:p>
        </w:tc>
        <w:tc>
          <w:tcPr>
            <w:tcW w:w="1843" w:type="dxa"/>
            <w:gridSpan w:val="2"/>
            <w:tcBorders>
              <w:bottom w:val="single" w:color="auto" w:sz="4" w:space="0"/>
            </w:tcBorders>
            <w:noWrap w:val="0"/>
            <w:vAlign w:val="center"/>
          </w:tcPr>
          <w:p>
            <w:pPr>
              <w:rPr>
                <w:rFonts w:hint="eastAsia" w:eastAsia="楷体_GB2312"/>
                <w:szCs w:val="21"/>
              </w:rPr>
            </w:pPr>
            <w:r>
              <w:rPr>
                <w:rFonts w:ascii="楷体_GB2312" w:hAnsi="楷体_GB2312" w:eastAsia="楷体_GB2312" w:cs="楷体_GB2312"/>
                <w:lang w:val="zh-TW" w:eastAsia="zh-TW"/>
              </w:rPr>
              <w:t>计算机论题</w:t>
            </w:r>
          </w:p>
        </w:tc>
        <w:tc>
          <w:tcPr>
            <w:tcW w:w="1134" w:type="dxa"/>
            <w:tcBorders>
              <w:left w:val="nil"/>
            </w:tcBorders>
            <w:noWrap w:val="0"/>
            <w:vAlign w:val="center"/>
          </w:tcPr>
          <w:p>
            <w:pPr>
              <w:rPr>
                <w:rFonts w:hint="eastAsia" w:eastAsia="楷体_GB2312"/>
                <w:szCs w:val="21"/>
              </w:rPr>
            </w:pPr>
            <w:r>
              <w:rPr>
                <w:rFonts w:hint="eastAsia" w:eastAsia="楷体_GB2312"/>
                <w:szCs w:val="21"/>
              </w:rPr>
              <w:t>主讲教师</w:t>
            </w:r>
          </w:p>
        </w:tc>
        <w:tc>
          <w:tcPr>
            <w:tcW w:w="850" w:type="dxa"/>
            <w:gridSpan w:val="2"/>
            <w:tcBorders>
              <w:left w:val="nil"/>
              <w:bottom w:val="single" w:color="auto" w:sz="4" w:space="0"/>
            </w:tcBorders>
            <w:noWrap w:val="0"/>
            <w:vAlign w:val="center"/>
          </w:tcPr>
          <w:p>
            <w:pPr>
              <w:rPr>
                <w:rFonts w:hint="eastAsia" w:eastAsia="楷体_GB2312"/>
                <w:szCs w:val="21"/>
                <w:lang w:val="en-US" w:eastAsia="zh-CN"/>
              </w:rPr>
            </w:pPr>
            <w:r>
              <w:rPr>
                <w:rFonts w:hint="eastAsia" w:eastAsia="楷体_GB2312"/>
                <w:szCs w:val="21"/>
                <w:lang w:val="en-US" w:eastAsia="zh-CN"/>
              </w:rPr>
              <w:t>李俊杰</w:t>
            </w:r>
          </w:p>
        </w:tc>
        <w:tc>
          <w:tcPr>
            <w:tcW w:w="709" w:type="dxa"/>
            <w:noWrap w:val="0"/>
            <w:vAlign w:val="center"/>
          </w:tcPr>
          <w:p>
            <w:pPr>
              <w:rPr>
                <w:rFonts w:hint="eastAsia" w:eastAsia="楷体_GB2312"/>
                <w:szCs w:val="21"/>
              </w:rPr>
            </w:pPr>
            <w:r>
              <w:rPr>
                <w:rFonts w:hint="eastAsia" w:eastAsia="楷体_GB2312"/>
                <w:szCs w:val="21"/>
              </w:rPr>
              <w:t>评分</w:t>
            </w:r>
          </w:p>
        </w:tc>
        <w:tc>
          <w:tcPr>
            <w:tcW w:w="427" w:type="dxa"/>
            <w:tcBorders>
              <w:bottom w:val="single" w:color="auto" w:sz="4" w:space="0"/>
            </w:tcBorders>
            <w:noWrap w:val="0"/>
            <w:vAlign w:val="center"/>
          </w:tcPr>
          <w:p>
            <w:pPr>
              <w:rPr>
                <w:rFonts w:hint="eastAsia" w:eastAsia="楷体_GB2312"/>
                <w:sz w:val="24"/>
              </w:rPr>
            </w:pPr>
          </w:p>
        </w:tc>
      </w:tr>
      <w:tr>
        <w:tblPrEx>
          <w:tblCellMar>
            <w:top w:w="0" w:type="dxa"/>
            <w:left w:w="108" w:type="dxa"/>
            <w:bottom w:w="0" w:type="dxa"/>
            <w:right w:w="108" w:type="dxa"/>
          </w:tblCellMar>
        </w:tblPrEx>
        <w:trPr>
          <w:wBefore w:w="0" w:type="auto"/>
          <w:wAfter w:w="0" w:type="auto"/>
          <w:trHeight w:val="397" w:hRule="atLeast"/>
          <w:jc w:val="center"/>
        </w:trPr>
        <w:tc>
          <w:tcPr>
            <w:tcW w:w="1075" w:type="dxa"/>
            <w:noWrap w:val="0"/>
            <w:vAlign w:val="bottom"/>
          </w:tcPr>
          <w:p>
            <w:pPr>
              <w:rPr>
                <w:rFonts w:hint="eastAsia" w:eastAsia="楷体_GB2312"/>
                <w:szCs w:val="21"/>
              </w:rPr>
            </w:pPr>
            <w:r>
              <w:rPr>
                <w:rFonts w:hint="eastAsia" w:eastAsia="楷体_GB2312"/>
                <w:szCs w:val="21"/>
              </w:rPr>
              <w:t>学    号</w:t>
            </w:r>
          </w:p>
        </w:tc>
        <w:tc>
          <w:tcPr>
            <w:tcW w:w="1158" w:type="dxa"/>
            <w:gridSpan w:val="3"/>
            <w:tcBorders>
              <w:bottom w:val="single" w:color="auto" w:sz="4" w:space="0"/>
            </w:tcBorders>
            <w:noWrap w:val="0"/>
            <w:vAlign w:val="bottom"/>
          </w:tcPr>
          <w:p>
            <w:pPr>
              <w:rPr>
                <w:rFonts w:hint="default" w:eastAsia="楷体_GB2312"/>
                <w:szCs w:val="21"/>
                <w:lang w:val="en-US" w:eastAsia="zh-CN"/>
              </w:rPr>
            </w:pPr>
            <w:r>
              <w:rPr>
                <w:rFonts w:hint="eastAsia" w:eastAsia="楷体_GB2312"/>
                <w:szCs w:val="21"/>
                <w:lang w:val="en-US" w:eastAsia="zh-CN"/>
              </w:rPr>
              <w:t>2020151022</w:t>
            </w:r>
          </w:p>
        </w:tc>
        <w:tc>
          <w:tcPr>
            <w:tcW w:w="1021" w:type="dxa"/>
            <w:gridSpan w:val="2"/>
            <w:noWrap w:val="0"/>
            <w:vAlign w:val="bottom"/>
          </w:tcPr>
          <w:p>
            <w:pPr>
              <w:jc w:val="right"/>
              <w:rPr>
                <w:rFonts w:hint="eastAsia" w:eastAsia="楷体_GB2312"/>
                <w:szCs w:val="21"/>
              </w:rPr>
            </w:pPr>
            <w:r>
              <w:rPr>
                <w:rFonts w:hint="eastAsia" w:eastAsia="楷体_GB2312"/>
                <w:szCs w:val="21"/>
              </w:rPr>
              <w:t>姓名</w:t>
            </w:r>
          </w:p>
        </w:tc>
        <w:tc>
          <w:tcPr>
            <w:tcW w:w="1100" w:type="dxa"/>
            <w:tcBorders>
              <w:bottom w:val="single" w:color="auto" w:sz="4" w:space="0"/>
            </w:tcBorders>
            <w:noWrap w:val="0"/>
            <w:vAlign w:val="bottom"/>
          </w:tcPr>
          <w:p>
            <w:pPr>
              <w:rPr>
                <w:rFonts w:hint="eastAsia" w:eastAsia="楷体_GB2312"/>
                <w:szCs w:val="21"/>
                <w:lang w:val="en-US" w:eastAsia="zh-CN"/>
              </w:rPr>
            </w:pPr>
            <w:r>
              <w:rPr>
                <w:rFonts w:hint="eastAsia" w:eastAsia="楷体_GB2312"/>
                <w:szCs w:val="21"/>
                <w:lang w:val="en-US" w:eastAsia="zh-CN"/>
              </w:rPr>
              <w:t>郑彦薇</w:t>
            </w:r>
          </w:p>
        </w:tc>
        <w:tc>
          <w:tcPr>
            <w:tcW w:w="1539" w:type="dxa"/>
            <w:gridSpan w:val="2"/>
            <w:tcBorders>
              <w:left w:val="nil"/>
            </w:tcBorders>
            <w:noWrap w:val="0"/>
            <w:vAlign w:val="bottom"/>
          </w:tcPr>
          <w:p>
            <w:pPr>
              <w:rPr>
                <w:rFonts w:hint="eastAsia" w:eastAsia="楷体_GB2312"/>
                <w:szCs w:val="21"/>
              </w:rPr>
            </w:pPr>
            <w:r>
              <w:rPr>
                <w:rFonts w:hint="eastAsia" w:eastAsia="楷体_GB2312"/>
                <w:szCs w:val="21"/>
              </w:rPr>
              <w:t>专业年级</w:t>
            </w:r>
          </w:p>
        </w:tc>
        <w:tc>
          <w:tcPr>
            <w:tcW w:w="3469" w:type="dxa"/>
            <w:gridSpan w:val="6"/>
            <w:tcBorders>
              <w:bottom w:val="single" w:color="auto" w:sz="4" w:space="0"/>
            </w:tcBorders>
            <w:noWrap w:val="0"/>
            <w:vAlign w:val="bottom"/>
          </w:tcPr>
          <w:p>
            <w:pPr>
              <w:rPr>
                <w:rFonts w:hint="default" w:eastAsia="楷体_GB2312"/>
                <w:szCs w:val="21"/>
                <w:lang w:val="en-US" w:eastAsia="zh-CN"/>
              </w:rPr>
            </w:pPr>
            <w:r>
              <w:rPr>
                <w:rFonts w:hint="eastAsia" w:eastAsia="楷体_GB2312"/>
                <w:szCs w:val="21"/>
                <w:lang w:val="en-US" w:eastAsia="zh-CN"/>
              </w:rPr>
              <w:t>2020级软件工程01班</w:t>
            </w:r>
          </w:p>
        </w:tc>
      </w:tr>
      <w:tr>
        <w:tblPrEx>
          <w:tblCellMar>
            <w:top w:w="0" w:type="dxa"/>
            <w:left w:w="108" w:type="dxa"/>
            <w:bottom w:w="0" w:type="dxa"/>
            <w:right w:w="108" w:type="dxa"/>
          </w:tblCellMar>
        </w:tblPrEx>
        <w:trPr>
          <w:wBefore w:w="0" w:type="auto"/>
          <w:wAfter w:w="0" w:type="auto"/>
          <w:trHeight w:val="113" w:hRule="exact"/>
          <w:jc w:val="center"/>
        </w:trPr>
        <w:tc>
          <w:tcPr>
            <w:tcW w:w="9362" w:type="dxa"/>
            <w:gridSpan w:val="15"/>
            <w:tcBorders>
              <w:bottom w:val="single" w:color="auto" w:sz="4" w:space="0"/>
            </w:tcBorders>
            <w:noWrap w:val="0"/>
            <w:vAlign w:val="bottom"/>
          </w:tcPr>
          <w:p>
            <w:pPr>
              <w:rPr>
                <w:rFonts w:hint="eastAsia" w:eastAsia="楷体_GB2312"/>
                <w:szCs w:val="21"/>
              </w:rPr>
            </w:pPr>
          </w:p>
        </w:tc>
      </w:tr>
      <w:tr>
        <w:tblPrEx>
          <w:tblCellMar>
            <w:top w:w="0" w:type="dxa"/>
            <w:left w:w="108" w:type="dxa"/>
            <w:bottom w:w="0" w:type="dxa"/>
            <w:right w:w="108" w:type="dxa"/>
          </w:tblCellMar>
        </w:tblPrEx>
        <w:trPr>
          <w:wBefore w:w="0" w:type="auto"/>
          <w:wAfter w:w="0" w:type="auto"/>
          <w:trHeight w:val="1395" w:hRule="atLeast"/>
          <w:jc w:val="center"/>
        </w:trPr>
        <w:tc>
          <w:tcPr>
            <w:tcW w:w="9362" w:type="dxa"/>
            <w:gridSpan w:val="15"/>
            <w:tcBorders>
              <w:top w:val="single" w:color="auto" w:sz="4" w:space="0"/>
              <w:left w:val="single" w:color="auto" w:sz="4" w:space="0"/>
              <w:right w:val="single" w:color="auto" w:sz="4" w:space="0"/>
            </w:tcBorders>
            <w:noWrap w:val="0"/>
            <w:vAlign w:val="top"/>
          </w:tcPr>
          <w:p>
            <w:pPr>
              <w:pStyle w:val="10"/>
              <w:pBdr>
                <w:top w:val="none" w:color="auto" w:sz="0" w:space="0"/>
                <w:left w:val="none" w:color="auto" w:sz="0" w:space="0"/>
                <w:bottom w:val="none" w:color="auto" w:sz="0" w:space="0"/>
                <w:right w:val="none" w:color="auto" w:sz="0" w:space="0"/>
                <w:between w:val="none" w:color="auto" w:sz="0" w:space="0"/>
              </w:pBdr>
              <w:rPr>
                <w:rFonts w:eastAsia="楷体" w:cs="楷体_GB2312"/>
                <w:lang w:val="zh-TW" w:eastAsia="zh-TW"/>
              </w:rPr>
            </w:pPr>
            <w:r>
              <w:rPr>
                <w:rFonts w:hint="eastAsia" w:eastAsia="楷体" w:cs="楷体_GB2312"/>
                <w:lang w:val="zh-TW" w:eastAsia="zh-TW"/>
              </w:rPr>
              <w:t>教师评语：</w:t>
            </w:r>
          </w:p>
          <w:p>
            <w:pPr>
              <w:pStyle w:val="10"/>
              <w:pBdr>
                <w:top w:val="none" w:color="auto" w:sz="0" w:space="0"/>
                <w:left w:val="none" w:color="auto" w:sz="0" w:space="0"/>
                <w:bottom w:val="none" w:color="auto" w:sz="0" w:space="0"/>
                <w:right w:val="none" w:color="auto" w:sz="0" w:space="0"/>
                <w:between w:val="none" w:color="auto" w:sz="0" w:space="0"/>
              </w:pBdr>
              <w:rPr>
                <w:rFonts w:eastAsia="楷体" w:cs="楷体_GB2312"/>
                <w:lang w:val="zh-TW" w:eastAsia="zh-TW"/>
              </w:rPr>
            </w:pPr>
            <w:r>
              <w:rPr>
                <w:rFonts w:hint="eastAsia" w:eastAsia="等线" w:cs="楷体_GB2312"/>
                <w:lang w:val="zh-TW" w:eastAsia="zh-CN"/>
              </w:rPr>
              <w:t>一、</w:t>
            </w:r>
            <w:r>
              <w:rPr>
                <w:rFonts w:hint="eastAsia" w:eastAsia="楷体" w:cs="楷体_GB2312"/>
                <w:lang w:val="zh-TW" w:eastAsia="zh-TW"/>
              </w:rPr>
              <w:t>概述《</w:t>
            </w:r>
            <w:r>
              <w:rPr>
                <w:rFonts w:eastAsia="楷体" w:cs="楷体_GB2312"/>
                <w:lang w:val="zh-TW" w:eastAsia="zh-TW"/>
              </w:rPr>
              <w:t>中华人民共和国数据安全法</w:t>
            </w:r>
            <w:r>
              <w:rPr>
                <w:rFonts w:hint="eastAsia" w:eastAsia="楷体" w:cs="楷体_GB2312"/>
                <w:lang w:val="zh-TW" w:eastAsia="zh-TW"/>
              </w:rPr>
              <w:t>》和《</w:t>
            </w:r>
            <w:r>
              <w:rPr>
                <w:rFonts w:eastAsia="楷体" w:cs="楷体_GB2312"/>
                <w:lang w:val="zh-TW" w:eastAsia="zh-TW"/>
              </w:rPr>
              <w:t>中华人民共和国个人信息保护法</w:t>
            </w:r>
            <w:r>
              <w:rPr>
                <w:rFonts w:hint="eastAsia" w:eastAsia="楷体" w:cs="楷体_GB2312"/>
                <w:lang w:val="zh-TW" w:eastAsia="zh-TW"/>
              </w:rPr>
              <w:t>》的核心理念</w:t>
            </w:r>
            <w:r>
              <w:rPr>
                <w:rFonts w:eastAsia="楷体" w:cs="楷体_GB2312"/>
                <w:lang w:val="zh-TW" w:eastAsia="zh-TW"/>
              </w:rPr>
              <w:t>（10分）</w:t>
            </w:r>
          </w:p>
          <w:p>
            <w:pPr>
              <w:pStyle w:val="10"/>
              <w:pBdr>
                <w:top w:val="none" w:color="auto" w:sz="0" w:space="0"/>
                <w:left w:val="none" w:color="auto" w:sz="0" w:space="0"/>
                <w:bottom w:val="none" w:color="auto" w:sz="0" w:space="0"/>
                <w:right w:val="none" w:color="auto" w:sz="0" w:space="0"/>
                <w:between w:val="none" w:color="auto" w:sz="0" w:space="0"/>
              </w:pBdr>
              <w:rPr>
                <w:rFonts w:eastAsia="PMingLiU" w:cs="楷体_GB2312"/>
                <w:lang w:val="zh-TW" w:eastAsia="zh-TW"/>
              </w:rPr>
            </w:pPr>
          </w:p>
          <w:p>
            <w:pPr>
              <w:pStyle w:val="10"/>
              <w:pBdr>
                <w:top w:val="none" w:color="auto" w:sz="0" w:space="0"/>
                <w:left w:val="none" w:color="auto" w:sz="0" w:space="0"/>
                <w:bottom w:val="none" w:color="auto" w:sz="0" w:space="0"/>
                <w:right w:val="none" w:color="auto" w:sz="0" w:space="0"/>
                <w:between w:val="none" w:color="auto" w:sz="0" w:space="0"/>
              </w:pBdr>
              <w:rPr>
                <w:rFonts w:eastAsia="PMingLiU" w:cs="楷体_GB2312"/>
                <w:lang w:val="zh-TW" w:eastAsia="zh-TW"/>
              </w:rPr>
            </w:pPr>
          </w:p>
          <w:p>
            <w:pPr>
              <w:pStyle w:val="10"/>
              <w:pBdr>
                <w:top w:val="none" w:color="auto" w:sz="0" w:space="0"/>
                <w:left w:val="none" w:color="auto" w:sz="0" w:space="0"/>
                <w:bottom w:val="none" w:color="auto" w:sz="0" w:space="0"/>
                <w:right w:val="none" w:color="auto" w:sz="0" w:space="0"/>
                <w:between w:val="none" w:color="auto" w:sz="0" w:space="0"/>
              </w:pBdr>
              <w:rPr>
                <w:rFonts w:eastAsia="楷体" w:cs="楷体_GB2312"/>
                <w:lang w:val="zh-TW" w:eastAsia="zh-TW"/>
              </w:rPr>
            </w:pPr>
            <w:r>
              <w:rPr>
                <w:rFonts w:hint="eastAsia" w:eastAsia="楷体" w:cs="楷体_GB2312"/>
                <w:lang w:val="zh-TW" w:eastAsia="zh-TW"/>
              </w:rPr>
              <w:t>二、</w:t>
            </w:r>
            <w:r>
              <w:rPr>
                <w:rFonts w:eastAsia="楷体" w:cs="楷体_GB2312"/>
                <w:lang w:val="zh-TW" w:eastAsia="zh-TW"/>
              </w:rPr>
              <w:t>从伦理学角度阐述对</w:t>
            </w:r>
            <w:r>
              <w:rPr>
                <w:rFonts w:hint="eastAsia" w:eastAsia="楷体" w:cs="楷体_GB2312"/>
                <w:lang w:val="zh-TW" w:eastAsia="zh-TW"/>
              </w:rPr>
              <w:t>《</w:t>
            </w:r>
            <w:r>
              <w:rPr>
                <w:rFonts w:eastAsia="楷体" w:cs="楷体_GB2312"/>
                <w:lang w:val="zh-TW" w:eastAsia="zh-TW"/>
              </w:rPr>
              <w:t>中华人民共和国数据安全法</w:t>
            </w:r>
            <w:r>
              <w:rPr>
                <w:rFonts w:hint="eastAsia" w:eastAsia="楷体" w:cs="楷体_GB2312"/>
                <w:lang w:val="zh-TW" w:eastAsia="zh-TW"/>
              </w:rPr>
              <w:t>》和《</w:t>
            </w:r>
            <w:r>
              <w:rPr>
                <w:rFonts w:eastAsia="楷体" w:cs="楷体_GB2312"/>
                <w:lang w:val="zh-TW" w:eastAsia="zh-TW"/>
              </w:rPr>
              <w:t>中华人民共和国个人信息保护法</w:t>
            </w:r>
            <w:r>
              <w:rPr>
                <w:rFonts w:hint="eastAsia" w:eastAsia="楷体" w:cs="楷体_GB2312"/>
                <w:lang w:val="zh-TW" w:eastAsia="zh-TW"/>
              </w:rPr>
              <w:t>》中个人信息保护</w:t>
            </w:r>
            <w:r>
              <w:rPr>
                <w:rFonts w:eastAsia="楷体" w:cs="楷体_GB2312"/>
                <w:lang w:val="zh-TW" w:eastAsia="zh-TW"/>
              </w:rPr>
              <w:t>问题及责任处理的理解；（40分）</w:t>
            </w:r>
          </w:p>
          <w:p>
            <w:pPr>
              <w:pStyle w:val="10"/>
              <w:rPr>
                <w:rFonts w:eastAsia="PMingLiU" w:cs="楷体_GB2312"/>
                <w:lang w:val="zh-TW" w:eastAsia="zh-TW"/>
              </w:rPr>
            </w:pPr>
          </w:p>
          <w:p>
            <w:pPr>
              <w:pStyle w:val="10"/>
              <w:rPr>
                <w:rFonts w:hint="eastAsia" w:eastAsia="PMingLiU" w:cs="楷体_GB2312"/>
                <w:lang w:val="zh-TW" w:eastAsia="zh-TW"/>
              </w:rPr>
            </w:pPr>
          </w:p>
          <w:p>
            <w:pPr>
              <w:pStyle w:val="10"/>
              <w:rPr>
                <w:rFonts w:eastAsia="楷体" w:cs="楷体_GB2312"/>
                <w:lang w:val="zh-TW" w:eastAsia="zh-TW"/>
              </w:rPr>
            </w:pPr>
            <w:r>
              <w:rPr>
                <w:rFonts w:hint="eastAsia" w:eastAsia="楷体" w:cs="楷体_GB2312"/>
                <w:lang w:val="zh-TW" w:eastAsia="zh-TW"/>
              </w:rPr>
              <w:t>三、个人阐述</w:t>
            </w:r>
            <w:r>
              <w:rPr>
                <w:rFonts w:eastAsia="楷体" w:cs="楷体_GB2312"/>
                <w:lang w:val="zh-TW" w:eastAsia="zh-TW"/>
              </w:rPr>
              <w:t>（40分）：</w:t>
            </w:r>
          </w:p>
          <w:p>
            <w:pPr>
              <w:pStyle w:val="10"/>
              <w:rPr>
                <w:rFonts w:eastAsia="PMingLiU" w:cs="楷体_GB2312"/>
                <w:lang w:val="zh-TW" w:eastAsia="zh-TW"/>
              </w:rPr>
            </w:pPr>
          </w:p>
          <w:p>
            <w:pPr>
              <w:pStyle w:val="10"/>
              <w:rPr>
                <w:rFonts w:eastAsia="PMingLiU" w:cs="楷体_GB2312"/>
                <w:lang w:val="zh-TW" w:eastAsia="zh-TW"/>
              </w:rPr>
            </w:pPr>
          </w:p>
          <w:p>
            <w:pPr>
              <w:pStyle w:val="10"/>
              <w:rPr>
                <w:rFonts w:eastAsia="楷体" w:cs="楷体_GB2312"/>
                <w:lang w:val="zh-TW" w:eastAsia="zh-TW"/>
              </w:rPr>
            </w:pPr>
            <w:r>
              <w:rPr>
                <w:rFonts w:hint="eastAsia" w:eastAsia="楷体" w:cs="楷体_GB2312"/>
                <w:lang w:val="zh-TW" w:eastAsia="zh-TW"/>
              </w:rPr>
              <w:t>四、报告</w:t>
            </w:r>
            <w:r>
              <w:rPr>
                <w:rFonts w:eastAsia="楷体" w:cs="楷体_GB2312"/>
                <w:lang w:val="zh-TW" w:eastAsia="zh-TW"/>
              </w:rPr>
              <w:t>写作（10分）</w:t>
            </w:r>
          </w:p>
          <w:p>
            <w:pPr>
              <w:rPr>
                <w:rFonts w:hint="eastAsia" w:ascii="宋体" w:hAnsi="宋体" w:eastAsia="PMingLiU" w:cs="宋体"/>
                <w:sz w:val="24"/>
                <w:lang w:val="zh-TW" w:eastAsia="zh-TW"/>
              </w:rPr>
            </w:pPr>
          </w:p>
          <w:p>
            <w:pPr>
              <w:rPr>
                <w:rFonts w:hint="eastAsia" w:eastAsia="PMingLiU"/>
                <w:szCs w:val="21"/>
              </w:rPr>
            </w:pPr>
          </w:p>
        </w:tc>
      </w:tr>
      <w:tr>
        <w:tblPrEx>
          <w:tblCellMar>
            <w:top w:w="0" w:type="dxa"/>
            <w:left w:w="108" w:type="dxa"/>
            <w:bottom w:w="0" w:type="dxa"/>
            <w:right w:w="108" w:type="dxa"/>
          </w:tblCellMar>
        </w:tblPrEx>
        <w:trPr>
          <w:wBefore w:w="0" w:type="auto"/>
          <w:wAfter w:w="0" w:type="auto"/>
          <w:trHeight w:val="765" w:hRule="atLeast"/>
          <w:jc w:val="center"/>
        </w:trPr>
        <w:tc>
          <w:tcPr>
            <w:tcW w:w="1153" w:type="dxa"/>
            <w:gridSpan w:val="2"/>
            <w:tcBorders>
              <w:top w:val="single" w:color="auto" w:sz="4" w:space="0"/>
            </w:tcBorders>
            <w:noWrap w:val="0"/>
            <w:vAlign w:val="center"/>
          </w:tcPr>
          <w:p>
            <w:pPr>
              <w:wordWrap w:val="0"/>
              <w:jc w:val="center"/>
              <w:rPr>
                <w:rFonts w:hint="eastAsia" w:eastAsia="楷体_GB2312"/>
                <w:sz w:val="24"/>
              </w:rPr>
            </w:pPr>
            <w:r>
              <w:rPr>
                <w:rFonts w:hint="eastAsia" w:eastAsia="楷体_GB2312"/>
                <w:sz w:val="24"/>
              </w:rPr>
              <w:t>题目：</w:t>
            </w:r>
          </w:p>
        </w:tc>
        <w:tc>
          <w:tcPr>
            <w:tcW w:w="6913" w:type="dxa"/>
            <w:gridSpan w:val="10"/>
            <w:tcBorders>
              <w:top w:val="single" w:color="auto" w:sz="4" w:space="0"/>
              <w:bottom w:val="single" w:color="auto" w:sz="4" w:space="0"/>
            </w:tcBorders>
            <w:noWrap w:val="0"/>
            <w:vAlign w:val="center"/>
          </w:tcPr>
          <w:p>
            <w:pPr>
              <w:jc w:val="center"/>
              <w:rPr>
                <w:rFonts w:hint="eastAsia" w:ascii="黑体" w:eastAsia="黑体"/>
                <w:sz w:val="28"/>
                <w:szCs w:val="28"/>
              </w:rPr>
            </w:pPr>
            <w:r>
              <w:rPr>
                <w:rFonts w:hint="eastAsia" w:ascii="宋体" w:hAnsi="宋体" w:cs="Arial"/>
                <w:bCs/>
                <w:sz w:val="24"/>
              </w:rPr>
              <w:t>企业数字化转型中使用个人信息的合规分析探讨</w:t>
            </w:r>
          </w:p>
        </w:tc>
        <w:tc>
          <w:tcPr>
            <w:tcW w:w="1296" w:type="dxa"/>
            <w:gridSpan w:val="3"/>
            <w:tcBorders>
              <w:top w:val="single" w:color="auto" w:sz="4" w:space="0"/>
            </w:tcBorders>
            <w:noWrap w:val="0"/>
            <w:vAlign w:val="center"/>
          </w:tcPr>
          <w:p>
            <w:pPr>
              <w:jc w:val="center"/>
              <w:rPr>
                <w:rFonts w:hint="eastAsia" w:eastAsia="楷体_GB2312"/>
                <w:sz w:val="24"/>
              </w:rPr>
            </w:pPr>
          </w:p>
        </w:tc>
      </w:tr>
    </w:tbl>
    <w:p>
      <w:pPr>
        <w:rPr>
          <w:rFonts w:hint="eastAsia"/>
        </w:rPr>
      </w:pPr>
    </w:p>
    <w:p>
      <w:pPr>
        <w:pStyle w:val="10"/>
        <w:rPr>
          <w:b/>
          <w:bCs/>
          <w:color w:val="0000FF"/>
          <w:u w:val="none" w:color="0000FF"/>
          <w:lang w:val="zh-TW" w:eastAsia="zh-TW"/>
        </w:rPr>
      </w:pPr>
      <w:r>
        <w:rPr>
          <w:rFonts w:ascii="宋体" w:hAnsi="宋体" w:cs="宋体"/>
          <w:b/>
          <w:bCs/>
          <w:color w:val="0000FF"/>
          <w:u w:val="none" w:color="0000FF"/>
          <w:lang w:val="zh-TW" w:eastAsia="zh-TW"/>
        </w:rPr>
        <w:t>说明：</w:t>
      </w:r>
    </w:p>
    <w:p>
      <w:pPr>
        <w:pStyle w:val="10"/>
        <w:numPr>
          <w:ilvl w:val="0"/>
          <w:numId w:val="1"/>
        </w:numPr>
        <w:rPr>
          <w:b/>
          <w:bCs/>
          <w:color w:val="0000FF"/>
          <w:lang w:val="zh-TW" w:eastAsia="zh-TW"/>
        </w:rPr>
      </w:pPr>
      <w:r>
        <w:rPr>
          <w:rFonts w:hint="eastAsia" w:ascii="宋体" w:hAnsi="宋体" w:cs="宋体"/>
          <w:b/>
          <w:bCs/>
          <w:color w:val="0000FF"/>
          <w:u w:val="none" w:color="0000FF"/>
          <w:lang w:val="zh-TW" w:eastAsia="zh-TW"/>
        </w:rPr>
        <w:t>不要删除或修改蓝色标记的文字，也不要删除线框。</w:t>
      </w:r>
    </w:p>
    <w:p>
      <w:pPr>
        <w:pStyle w:val="10"/>
        <w:numPr>
          <w:ilvl w:val="0"/>
          <w:numId w:val="1"/>
        </w:numPr>
        <w:rPr>
          <w:b/>
          <w:bCs/>
          <w:color w:val="0000FF"/>
          <w:lang w:val="zh-TW" w:eastAsia="zh-TW"/>
        </w:rPr>
      </w:pPr>
      <w:r>
        <w:rPr>
          <w:rFonts w:hint="eastAsia" w:ascii="宋体" w:hAnsi="宋体" w:cs="宋体"/>
          <w:b/>
          <w:bCs/>
          <w:color w:val="0000FF"/>
          <w:u w:val="none" w:color="0000FF"/>
          <w:lang w:val="zh-TW" w:eastAsia="zh-TW"/>
        </w:rPr>
        <w:t>请在相应的线框内答题，答题时请用</w:t>
      </w:r>
      <w:r>
        <w:rPr>
          <w:b/>
          <w:bCs/>
          <w:color w:val="0000FF"/>
          <w:u w:val="none" w:color="0000FF"/>
          <w:lang w:eastAsia="zh-CN"/>
        </w:rPr>
        <w:t>5</w:t>
      </w:r>
      <w:r>
        <w:rPr>
          <w:rFonts w:hint="eastAsia" w:ascii="宋体" w:hAnsi="宋体" w:cs="宋体"/>
          <w:b/>
          <w:bCs/>
          <w:color w:val="0000FF"/>
          <w:u w:val="none" w:color="0000FF"/>
          <w:lang w:val="zh-TW" w:eastAsia="zh-TW"/>
        </w:rPr>
        <w:t>号、宋体、黑色文字、单倍行距。</w:t>
      </w:r>
    </w:p>
    <w:p>
      <w:pPr>
        <w:pStyle w:val="10"/>
        <w:rPr>
          <w:lang w:eastAsia="zh-CN"/>
        </w:rPr>
      </w:pPr>
      <w:r>
        <w:rPr>
          <w:rFonts w:ascii="宋体" w:hAnsi="宋体" w:cs="宋体"/>
          <w:b/>
          <w:bCs/>
          <w:color w:val="0000FF"/>
          <w:u w:val="none" w:color="0000FF"/>
          <w:lang w:val="zh-TW" w:eastAsia="zh-TW"/>
        </w:rPr>
        <w:t>题一（</w:t>
      </w:r>
      <w:r>
        <w:rPr>
          <w:b/>
          <w:bCs/>
          <w:color w:val="0000FF"/>
          <w:u w:val="none" w:color="0000FF"/>
          <w:lang w:val="zh-CN" w:eastAsia="zh-CN"/>
        </w:rPr>
        <w:t>10</w:t>
      </w:r>
      <w:r>
        <w:rPr>
          <w:rFonts w:ascii="宋体" w:hAnsi="宋体" w:cs="宋体"/>
          <w:b/>
          <w:bCs/>
          <w:color w:val="0000FF"/>
          <w:u w:val="none" w:color="0000FF"/>
          <w:lang w:val="zh-TW" w:eastAsia="zh-TW"/>
        </w:rPr>
        <w:t>分）、题二（</w:t>
      </w:r>
      <w:r>
        <w:rPr>
          <w:b/>
          <w:bCs/>
          <w:color w:val="0000FF"/>
          <w:u w:val="none" w:color="0000FF"/>
          <w:lang w:val="zh-CN" w:eastAsia="zh-CN"/>
        </w:rPr>
        <w:t>40</w:t>
      </w:r>
      <w:r>
        <w:rPr>
          <w:rFonts w:ascii="宋体" w:hAnsi="宋体" w:cs="宋体"/>
          <w:b/>
          <w:bCs/>
          <w:color w:val="0000FF"/>
          <w:u w:val="none" w:color="0000FF"/>
          <w:lang w:val="zh-TW" w:eastAsia="zh-TW"/>
        </w:rPr>
        <w:t>分）、题三（</w:t>
      </w:r>
      <w:r>
        <w:rPr>
          <w:b/>
          <w:bCs/>
          <w:color w:val="0000FF"/>
          <w:u w:val="none" w:color="0000FF"/>
          <w:lang w:val="zh-CN" w:eastAsia="zh-CN"/>
        </w:rPr>
        <w:t>40</w:t>
      </w:r>
      <w:r>
        <w:rPr>
          <w:rFonts w:ascii="宋体" w:hAnsi="宋体" w:cs="宋体"/>
          <w:b/>
          <w:bCs/>
          <w:color w:val="0000FF"/>
          <w:u w:val="none" w:color="0000FF"/>
          <w:lang w:val="zh-TW" w:eastAsia="zh-TW"/>
        </w:rPr>
        <w:t>分）、报告格式和总体撰写情况（</w:t>
      </w:r>
      <w:r>
        <w:rPr>
          <w:b/>
          <w:bCs/>
          <w:color w:val="0000FF"/>
          <w:u w:val="none" w:color="0000FF"/>
          <w:lang w:eastAsia="zh-CN"/>
        </w:rPr>
        <w:t>10</w:t>
      </w:r>
      <w:r>
        <w:rPr>
          <w:rFonts w:ascii="宋体" w:hAnsi="宋体" w:cs="宋体"/>
          <w:b/>
          <w:bCs/>
          <w:color w:val="0000FF"/>
          <w:u w:val="none" w:color="0000FF"/>
          <w:lang w:val="zh-TW" w:eastAsia="zh-TW"/>
        </w:rPr>
        <w:t>分）</w:t>
      </w:r>
    </w:p>
    <w:p>
      <w:pPr>
        <w:pStyle w:val="10"/>
        <w:numPr>
          <w:ilvl w:val="0"/>
          <w:numId w:val="2"/>
        </w:numPr>
        <w:rPr>
          <w:rFonts w:ascii="宋体" w:hAnsi="宋体" w:cs="宋体"/>
          <w:b/>
          <w:bCs/>
          <w:color w:val="0000FF"/>
          <w:lang w:val="zh-TW" w:eastAsia="zh-TW"/>
        </w:rPr>
      </w:pPr>
      <w:r>
        <w:rPr>
          <w:lang w:eastAsia="zh-CN"/>
        </w:rPr>
        <w:br w:type="page"/>
      </w:r>
      <w:r>
        <w:rPr>
          <w:rFonts w:hint="eastAsia" w:ascii="宋体" w:hAnsi="宋体" w:cs="宋体"/>
          <w:b/>
          <w:bCs/>
          <w:sz w:val="24"/>
          <w:szCs w:val="24"/>
          <w:lang w:val="zh-TW" w:eastAsia="zh-TW"/>
        </w:rPr>
        <w:t>概述《</w:t>
      </w:r>
      <w:r>
        <w:rPr>
          <w:rFonts w:ascii="宋体" w:hAnsi="宋体" w:cs="宋体"/>
          <w:b/>
          <w:bCs/>
          <w:sz w:val="24"/>
          <w:szCs w:val="24"/>
          <w:lang w:val="zh-TW" w:eastAsia="zh-TW"/>
        </w:rPr>
        <w:t>中华人民共和国数据安全法</w:t>
      </w:r>
      <w:r>
        <w:rPr>
          <w:rFonts w:hint="eastAsia" w:ascii="宋体" w:hAnsi="宋体" w:cs="宋体"/>
          <w:b/>
          <w:bCs/>
          <w:sz w:val="24"/>
          <w:szCs w:val="24"/>
          <w:lang w:val="zh-TW" w:eastAsia="zh-TW"/>
        </w:rPr>
        <w:t>》和《</w:t>
      </w:r>
      <w:r>
        <w:rPr>
          <w:rFonts w:ascii="宋体" w:hAnsi="宋体" w:cs="宋体"/>
          <w:b/>
          <w:bCs/>
          <w:sz w:val="24"/>
          <w:szCs w:val="24"/>
          <w:lang w:val="zh-TW" w:eastAsia="zh-TW"/>
        </w:rPr>
        <w:t>中华人民共和国个人信息保护法</w:t>
      </w:r>
      <w:r>
        <w:rPr>
          <w:rFonts w:hint="eastAsia" w:ascii="宋体" w:hAnsi="宋体" w:cs="宋体"/>
          <w:b/>
          <w:bCs/>
          <w:sz w:val="24"/>
          <w:szCs w:val="24"/>
          <w:lang w:val="zh-TW" w:eastAsia="zh-TW"/>
        </w:rPr>
        <w:t>》的核心理念</w:t>
      </w:r>
      <w:r>
        <w:rPr>
          <w:rFonts w:ascii="宋体" w:hAnsi="宋体" w:cs="宋体"/>
          <w:b/>
          <w:bCs/>
          <w:sz w:val="24"/>
          <w:szCs w:val="24"/>
          <w:lang w:val="zh-TW" w:eastAsia="zh-TW"/>
        </w:rPr>
        <w:t>（该部分不能超出一页，否则零分）。（10分）</w:t>
      </w:r>
    </w:p>
    <w:p>
      <w:pPr>
        <w:pStyle w:val="10"/>
        <w:rPr>
          <w:rFonts w:ascii="宋体" w:hAnsi="宋体" w:cs="宋体"/>
        </w:rPr>
      </w:pPr>
      <w:r>
        <w:rPr>
          <w:rFonts w:ascii="宋体" w:hAnsi="宋体" w:cs="宋体"/>
          <w:b/>
          <w:bCs/>
          <w:u w:val="none" w:color="0000FF"/>
        </w:rPr>
        <w:t xml:space="preserve">1.1 </w:t>
      </w:r>
      <w:r>
        <w:rPr>
          <w:rFonts w:ascii="宋体" w:hAnsi="宋体" w:cs="宋体"/>
          <w:sz w:val="24"/>
          <w:szCs w:val="24"/>
          <w:lang w:val="zh-TW" w:eastAsia="zh-TW"/>
        </w:rPr>
        <w:t>立法</w:t>
      </w:r>
      <w:r>
        <w:rPr>
          <w:rFonts w:hint="eastAsia" w:ascii="宋体" w:hAnsi="宋体" w:cs="宋体"/>
          <w:sz w:val="24"/>
          <w:szCs w:val="24"/>
          <w:lang w:val="zh-TW" w:eastAsia="zh-TW"/>
        </w:rPr>
        <w:t>目的</w:t>
      </w:r>
      <w:r>
        <w:rPr>
          <w:rFonts w:ascii="宋体" w:hAnsi="宋体" w:cs="宋体"/>
          <w:b/>
          <w:bCs/>
          <w:u w:val="none" w:color="0000FF"/>
          <w:lang w:val="zh-TW" w:eastAsia="zh-TW"/>
        </w:rPr>
        <w:t>.（</w:t>
      </w:r>
      <w:r>
        <w:rPr>
          <w:rFonts w:ascii="宋体" w:hAnsi="宋体" w:cs="宋体"/>
          <w:b/>
          <w:bCs/>
          <w:u w:val="none" w:color="0000FF"/>
          <w:lang w:val="zh-CN" w:eastAsia="zh-CN"/>
        </w:rPr>
        <w:t>5</w:t>
      </w:r>
      <w:r>
        <w:rPr>
          <w:rFonts w:ascii="宋体" w:hAnsi="宋体" w:cs="宋体"/>
          <w:b/>
          <w:bCs/>
          <w:u w:val="none" w:color="0000FF"/>
          <w:lang w:val="zh-TW" w:eastAsia="zh-TW"/>
        </w:rPr>
        <w:t>分）</w:t>
      </w: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3504"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spacing w:line="240" w:lineRule="auto"/>
              <w:rPr>
                <w:rFonts w:hint="default" w:ascii="宋体" w:hAnsi="宋体" w:cs="宋体"/>
                <w:lang w:val="en-US" w:eastAsia="zh-CN"/>
              </w:rPr>
            </w:pPr>
            <w:r>
              <w:rPr>
                <w:rFonts w:hint="eastAsia" w:ascii="宋体" w:hAnsi="宋体" w:cs="宋体"/>
                <w:lang w:val="en-US" w:eastAsia="zh-CN"/>
              </w:rPr>
              <w:t>（1）从时代背景出发，数字经济时代的发展，使得数据成为一种越来越有用的资源，这也使得数据流动的相关规则的制定更加重要，我国在相关法律法规的制定上相比于西方国家有所落后，《数据安全法》以及《个人信息保护法》的制定无疑是我国在该领域做出的一大加强举措。</w:t>
            </w:r>
          </w:p>
          <w:p>
            <w:pPr>
              <w:pStyle w:val="10"/>
              <w:spacing w:line="240" w:lineRule="auto"/>
              <w:rPr>
                <w:rFonts w:hint="default" w:ascii="宋体" w:hAnsi="宋体" w:cs="宋体"/>
                <w:lang w:val="en-US" w:eastAsia="zh-CN"/>
              </w:rPr>
            </w:pPr>
            <w:r>
              <w:rPr>
                <w:rFonts w:hint="eastAsia" w:ascii="宋体" w:hAnsi="宋体" w:cs="宋体"/>
                <w:lang w:val="en-US" w:eastAsia="zh-CN"/>
              </w:rPr>
              <w:t>（2）从法律内容出发，《数据安全法》在第一条就指出，“为了规范数据处理活动，保障数据安全，促进数据开发利用，保护个人、组织的合法权益，维护国家主权安全和发展了利益，制定本法”</w:t>
            </w:r>
            <w:r>
              <w:rPr>
                <w:rFonts w:hint="eastAsia" w:ascii="华光楷体_CNKI" w:hAnsi="华光楷体_CNKI" w:eastAsia="华光楷体_CNKI" w:cs="华光楷体_CNKI"/>
                <w:vertAlign w:val="superscript"/>
                <w:lang w:val="en-US" w:eastAsia="zh-CN"/>
              </w:rPr>
              <w:t>[5]</w:t>
            </w:r>
            <w:r>
              <w:rPr>
                <w:rFonts w:hint="eastAsia" w:ascii="宋体" w:hAnsi="宋体" w:cs="宋体"/>
                <w:lang w:val="en-US" w:eastAsia="zh-CN"/>
              </w:rPr>
              <w:t>。这一条明确指出了《数据安全法》制定的目的，指出了利用数据开发过程中的权益保护对象。</w:t>
            </w:r>
          </w:p>
          <w:p>
            <w:pPr>
              <w:pStyle w:val="10"/>
              <w:spacing w:line="240" w:lineRule="auto"/>
            </w:pPr>
            <w:r>
              <w:rPr>
                <w:rFonts w:hint="eastAsia" w:ascii="宋体" w:hAnsi="宋体" w:cs="宋体"/>
                <w:lang w:val="en-US" w:eastAsia="zh-CN"/>
              </w:rPr>
              <w:t>同样的，《个人信息保护法》也在第一条明确指出立法目的——“为了保护个人信息权益，规范个人信息处理活动，促进个人信息合理利用，根据宪法，制定本法”</w:t>
            </w:r>
            <w:r>
              <w:rPr>
                <w:rFonts w:hint="eastAsia" w:ascii="华光楷体_CNKI" w:hAnsi="华光楷体_CNKI" w:eastAsia="华光楷体_CNKI" w:cs="华光楷体_CNKI"/>
                <w:vertAlign w:val="superscript"/>
                <w:lang w:val="en-US" w:eastAsia="zh-CN"/>
              </w:rPr>
              <w:t>[4]</w:t>
            </w:r>
            <w:r>
              <w:rPr>
                <w:rFonts w:hint="eastAsia" w:ascii="宋体" w:hAnsi="宋体" w:cs="宋体"/>
                <w:lang w:val="en-US" w:eastAsia="zh-CN"/>
              </w:rPr>
              <w:t>。保护个人权益是我国个人信息保护法的重要立法目的，我国制定本法实现对个人信息权益全面、充分的保护。</w:t>
            </w:r>
          </w:p>
        </w:tc>
      </w:tr>
    </w:tbl>
    <w:p>
      <w:pPr>
        <w:pStyle w:val="10"/>
        <w:rPr>
          <w:rFonts w:ascii="宋体" w:hAnsi="宋体" w:cs="宋体"/>
        </w:rPr>
      </w:pPr>
    </w:p>
    <w:p>
      <w:pPr>
        <w:pStyle w:val="10"/>
        <w:rPr>
          <w:rFonts w:ascii="宋体" w:hAnsi="宋体" w:cs="宋体"/>
        </w:rPr>
      </w:pPr>
      <w:r>
        <w:rPr>
          <w:rFonts w:ascii="宋体" w:hAnsi="宋体" w:cs="宋体"/>
          <w:b/>
          <w:bCs/>
          <w:u w:val="none" w:color="0000FF"/>
        </w:rPr>
        <w:t xml:space="preserve">1.2 </w:t>
      </w:r>
      <w:r>
        <w:rPr>
          <w:rFonts w:ascii="宋体" w:hAnsi="宋体" w:cs="宋体"/>
          <w:sz w:val="24"/>
          <w:szCs w:val="24"/>
          <w:lang w:val="zh-TW" w:eastAsia="zh-TW"/>
        </w:rPr>
        <w:t>编纂核心理念</w:t>
      </w:r>
      <w:r>
        <w:rPr>
          <w:rFonts w:ascii="宋体" w:hAnsi="宋体" w:cs="宋体"/>
          <w:b/>
          <w:bCs/>
          <w:u w:val="none" w:color="0000FF"/>
          <w:lang w:val="zh-TW" w:eastAsia="zh-TW"/>
        </w:rPr>
        <w:t>（</w:t>
      </w:r>
      <w:r>
        <w:rPr>
          <w:rFonts w:ascii="宋体" w:hAnsi="宋体" w:cs="宋体"/>
          <w:b/>
          <w:bCs/>
          <w:u w:val="none" w:color="0000FF"/>
          <w:lang w:val="zh-CN" w:eastAsia="zh-CN"/>
        </w:rPr>
        <w:t>5</w:t>
      </w:r>
      <w:r>
        <w:rPr>
          <w:rFonts w:ascii="宋体" w:hAnsi="宋体" w:cs="宋体"/>
          <w:b/>
          <w:bCs/>
          <w:u w:val="none" w:color="0000FF"/>
          <w:lang w:val="zh-TW" w:eastAsia="zh-TW"/>
        </w:rPr>
        <w:t>分）</w:t>
      </w: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625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hint="default" w:ascii="宋体" w:hAnsi="宋体" w:cs="宋体"/>
                <w:color w:val="auto"/>
                <w:u w:val="none" w:color="0000FF"/>
                <w:lang w:val="en-US" w:eastAsia="zh-CN"/>
              </w:rPr>
            </w:pPr>
            <w:r>
              <w:rPr>
                <w:rFonts w:hint="eastAsia" w:ascii="宋体" w:hAnsi="宋体" w:cs="宋体"/>
                <w:color w:val="auto"/>
                <w:u w:val="none" w:color="0000FF"/>
                <w:lang w:val="en-US" w:eastAsia="zh-CN"/>
              </w:rPr>
              <w:t>（1）对于《数据保护法》：在具体法律条文中，可以看到国家对数据的交易管理制度、数据保护制度的制定和建立，同时提出对于个人、行业组织、数据安全管理机构等主体的监管要求。另外，还对数据安全制定更加严格的管理政策，提出具体的法律责任以及不同数据隐患问题下的问责主体及问责制度。问责制度的制定，可以减少数据泄露等问题出现时，“由谁承担责任”或“向谁问责”等问题无法回答的情况。</w:t>
            </w:r>
          </w:p>
          <w:p>
            <w:pPr>
              <w:pStyle w:val="10"/>
              <w:rPr>
                <w:rFonts w:hint="default" w:ascii="宋体" w:hAnsi="宋体" w:cs="宋体"/>
                <w:color w:val="auto"/>
                <w:u w:val="none" w:color="0000FF"/>
                <w:lang w:val="en-US" w:eastAsia="zh-CN"/>
              </w:rPr>
            </w:pPr>
            <w:r>
              <w:rPr>
                <w:rFonts w:hint="eastAsia" w:ascii="宋体" w:hAnsi="宋体" w:cs="宋体"/>
                <w:color w:val="auto"/>
                <w:u w:val="none" w:color="0000FF"/>
                <w:lang w:val="en-US" w:eastAsia="zh-CN"/>
              </w:rPr>
              <w:t>综上，我们提出《数据保护法》的编纂核心理念是通过制定具体法律法规，让数据安全有保障，实现数据的流动以真正实现其价值，使得数据更好的作为一种资源在数字经济时代发挥其作用。</w:t>
            </w:r>
          </w:p>
          <w:p>
            <w:pPr>
              <w:pStyle w:val="10"/>
              <w:numPr>
                <w:ilvl w:val="0"/>
                <w:numId w:val="3"/>
              </w:numPr>
              <w:rPr>
                <w:rFonts w:hint="eastAsia" w:ascii="宋体" w:hAnsi="宋体" w:cs="宋体"/>
                <w:color w:val="auto"/>
                <w:u w:val="none" w:color="0000FF"/>
                <w:lang w:val="en-US" w:eastAsia="zh-CN"/>
              </w:rPr>
            </w:pPr>
            <w:r>
              <w:rPr>
                <w:rFonts w:hint="eastAsia" w:ascii="宋体" w:hAnsi="宋体" w:cs="宋体"/>
                <w:color w:val="auto"/>
                <w:u w:val="none" w:color="0000FF"/>
                <w:lang w:val="en-US" w:eastAsia="zh-CN"/>
              </w:rPr>
              <w:t>对于《个人信息保护法》：法律条文中首先明确指出处理个人信息时的相关要求，提出个人信息处理规则；对于个人信息处理过程中造成权益损害的个体或团体，应承担相应法律责任。另外，对个人在个人信息处理活动中的权利和义务的明确，也能够促进对个人信息</w:t>
            </w:r>
            <w:r>
              <w:rPr>
                <w:rFonts w:hint="eastAsia" w:ascii="宋体" w:hAnsi="宋体" w:cs="宋体"/>
                <w:color w:val="auto"/>
                <w:u w:val="none" w:color="0000FF"/>
                <w:lang w:val="en-US" w:eastAsia="zh-CN"/>
              </w:rPr>
              <w:t>更好的</w:t>
            </w:r>
            <w:r>
              <w:rPr>
                <w:rFonts w:hint="eastAsia" w:ascii="宋体" w:hAnsi="宋体" w:cs="宋体"/>
                <w:color w:val="auto"/>
                <w:u w:val="none" w:color="0000FF"/>
                <w:lang w:val="en-US" w:eastAsia="zh-CN"/>
              </w:rPr>
              <w:t>的合理利用。</w:t>
            </w:r>
          </w:p>
          <w:p>
            <w:pPr>
              <w:pStyle w:val="10"/>
              <w:numPr>
                <w:ilvl w:val="0"/>
                <w:numId w:val="0"/>
              </w:numPr>
              <w:rPr>
                <w:rFonts w:hint="default" w:ascii="宋体" w:hAnsi="宋体" w:cs="宋体"/>
                <w:color w:val="auto"/>
                <w:u w:val="none" w:color="0000FF"/>
                <w:lang w:val="en-US" w:eastAsia="zh-CN"/>
              </w:rPr>
            </w:pPr>
            <w:r>
              <w:rPr>
                <w:rFonts w:hint="eastAsia" w:ascii="宋体" w:hAnsi="宋体" w:cs="宋体"/>
                <w:color w:val="auto"/>
                <w:u w:val="none" w:color="0000FF"/>
                <w:lang w:val="en-US" w:eastAsia="zh-CN"/>
              </w:rPr>
              <w:t>同时，个人信息保护法还在“告知-知情”的基础上构建以“告知-知情-同意”为核心的个人信息处理规则体系。</w:t>
            </w:r>
          </w:p>
          <w:p>
            <w:pPr>
              <w:pStyle w:val="10"/>
              <w:numPr>
                <w:ilvl w:val="0"/>
                <w:numId w:val="0"/>
              </w:numPr>
              <w:rPr>
                <w:rFonts w:hint="default" w:ascii="宋体" w:hAnsi="宋体" w:cs="宋体"/>
                <w:color w:val="auto"/>
                <w:u w:val="none" w:color="0000FF"/>
                <w:lang w:val="en-US" w:eastAsia="zh-CN"/>
              </w:rPr>
            </w:pPr>
            <w:r>
              <w:rPr>
                <w:rFonts w:hint="eastAsia" w:ascii="宋体" w:hAnsi="宋体" w:cs="宋体"/>
                <w:color w:val="auto"/>
                <w:u w:val="none" w:color="0000FF"/>
                <w:lang w:val="en-US" w:eastAsia="zh-CN"/>
              </w:rPr>
              <w:t>综上，我们提出《个人信息保护法》的编纂核心理念是通过该法律法规巩固“规范个人信息处理活动”这一核心，使得在实现保护个人信息权益的同时，能够促进企业、行业组织以及国家对个人信息的合理利用。</w:t>
            </w: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rPr>
                <w:rFonts w:ascii="宋体" w:hAnsi="宋体" w:cs="宋体"/>
                <w:color w:val="0000FF"/>
                <w:u w:val="none" w:color="0000FF"/>
              </w:rPr>
            </w:pPr>
          </w:p>
          <w:p>
            <w:pPr>
              <w:pStyle w:val="10"/>
            </w:pPr>
          </w:p>
        </w:tc>
      </w:tr>
    </w:tbl>
    <w:p>
      <w:pPr>
        <w:pStyle w:val="10"/>
        <w:numPr>
          <w:ilvl w:val="0"/>
          <w:numId w:val="2"/>
        </w:numPr>
        <w:rPr>
          <w:rFonts w:hint="eastAsia" w:ascii="宋体" w:hAnsi="宋体" w:cs="宋体"/>
          <w:b/>
          <w:bCs/>
          <w:lang w:val="zh-TW" w:eastAsia="zh-TW"/>
        </w:rPr>
      </w:pPr>
      <w:r>
        <w:rPr>
          <w:rFonts w:ascii="宋体" w:hAnsi="宋体" w:cs="宋体"/>
          <w:sz w:val="24"/>
          <w:szCs w:val="24"/>
          <w:lang w:val="zh-TW" w:eastAsia="zh-TW"/>
        </w:rPr>
        <w:t>从伦理学角度阐述对</w:t>
      </w:r>
      <w:r>
        <w:rPr>
          <w:rFonts w:hint="eastAsia" w:ascii="宋体" w:hAnsi="宋体" w:cs="宋体"/>
          <w:b/>
          <w:bCs/>
          <w:sz w:val="24"/>
          <w:szCs w:val="24"/>
          <w:lang w:val="zh-TW" w:eastAsia="zh-TW"/>
        </w:rPr>
        <w:t>《</w:t>
      </w:r>
      <w:r>
        <w:rPr>
          <w:rFonts w:ascii="宋体" w:hAnsi="宋体" w:cs="宋体"/>
          <w:b/>
          <w:bCs/>
          <w:sz w:val="24"/>
          <w:szCs w:val="24"/>
          <w:lang w:val="zh-TW" w:eastAsia="zh-TW"/>
        </w:rPr>
        <w:t>中华人民共和国数据安全法</w:t>
      </w:r>
      <w:r>
        <w:rPr>
          <w:rFonts w:hint="eastAsia" w:ascii="宋体" w:hAnsi="宋体" w:cs="宋体"/>
          <w:b/>
          <w:bCs/>
          <w:sz w:val="24"/>
          <w:szCs w:val="24"/>
          <w:lang w:val="zh-TW" w:eastAsia="zh-TW"/>
        </w:rPr>
        <w:t>》和《</w:t>
      </w:r>
      <w:r>
        <w:rPr>
          <w:rFonts w:ascii="宋体" w:hAnsi="宋体" w:cs="宋体"/>
          <w:b/>
          <w:bCs/>
          <w:sz w:val="24"/>
          <w:szCs w:val="24"/>
          <w:lang w:val="zh-TW" w:eastAsia="zh-TW"/>
        </w:rPr>
        <w:t>中华人民共和国个人信息保护法</w:t>
      </w:r>
      <w:r>
        <w:rPr>
          <w:rFonts w:hint="eastAsia" w:ascii="宋体" w:hAnsi="宋体" w:cs="宋体"/>
          <w:b/>
          <w:bCs/>
          <w:sz w:val="24"/>
          <w:szCs w:val="24"/>
          <w:lang w:val="zh-TW" w:eastAsia="zh-TW"/>
        </w:rPr>
        <w:t>》中个人信息保护</w:t>
      </w:r>
      <w:r>
        <w:rPr>
          <w:rFonts w:ascii="宋体" w:hAnsi="宋体" w:cs="宋体"/>
          <w:sz w:val="24"/>
          <w:szCs w:val="24"/>
          <w:lang w:val="zh-TW" w:eastAsia="zh-TW"/>
        </w:rPr>
        <w:t>问题及责任处理的理解</w:t>
      </w:r>
      <w:r>
        <w:rPr>
          <w:rFonts w:ascii="宋体" w:hAnsi="宋体" w:cs="宋体"/>
          <w:b/>
          <w:bCs/>
          <w:u w:val="none" w:color="0000FF"/>
          <w:lang w:val="zh-TW" w:eastAsia="zh-TW"/>
        </w:rPr>
        <w:t>。（</w:t>
      </w:r>
      <w:r>
        <w:rPr>
          <w:rFonts w:ascii="宋体" w:hAnsi="宋体" w:cs="宋体"/>
          <w:b/>
          <w:bCs/>
          <w:u w:val="none" w:color="0000FF"/>
          <w:lang w:val="zh-CN" w:eastAsia="zh-CN"/>
        </w:rPr>
        <w:t>40</w:t>
      </w:r>
      <w:r>
        <w:rPr>
          <w:rFonts w:ascii="宋体" w:hAnsi="宋体" w:cs="宋体"/>
          <w:b/>
          <w:bCs/>
          <w:u w:val="none" w:color="0000FF"/>
          <w:lang w:val="zh-TW" w:eastAsia="zh-TW"/>
        </w:rPr>
        <w:t>分）</w:t>
      </w: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wBefore w:w="0" w:type="dxa"/>
          <w:trHeight w:val="9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Arial"/>
                <w:bCs/>
                <w:sz w:val="24"/>
                <w:lang w:eastAsia="zh-CN"/>
              </w:rPr>
            </w:pPr>
            <w:r>
              <w:rPr>
                <w:rFonts w:ascii="宋体" w:hAnsi="宋体" w:cs="Arial"/>
                <w:bCs/>
                <w:sz w:val="24"/>
                <w:lang w:eastAsia="zh-CN"/>
              </w:rPr>
              <w:t>知识点1：（10分）</w:t>
            </w:r>
          </w:p>
          <w:p>
            <w:pPr>
              <w:pStyle w:val="10"/>
              <w:numPr>
                <w:ilvl w:val="0"/>
                <w:numId w:val="4"/>
              </w:numPr>
              <w:rPr>
                <w:rFonts w:ascii="宋体" w:hAnsi="宋体" w:cs="Arial"/>
                <w:bCs/>
                <w:sz w:val="24"/>
                <w:lang w:eastAsia="zh-CN"/>
              </w:rPr>
            </w:pPr>
            <w:r>
              <w:rPr>
                <w:rFonts w:ascii="宋体" w:hAnsi="宋体" w:cs="Arial"/>
                <w:bCs/>
                <w:sz w:val="24"/>
                <w:lang w:eastAsia="zh-CN"/>
              </w:rPr>
              <w:t>教材中的对应章节（1分）：</w:t>
            </w:r>
          </w:p>
          <w:p>
            <w:pPr>
              <w:pStyle w:val="10"/>
              <w:numPr>
                <w:ilvl w:val="0"/>
                <w:numId w:val="0"/>
              </w:numPr>
              <w:ind w:leftChars="200"/>
              <w:rPr>
                <w:rFonts w:ascii="宋体" w:hAnsi="宋体" w:cs="Arial"/>
                <w:bCs/>
                <w:sz w:val="21"/>
                <w:szCs w:val="18"/>
                <w:lang w:eastAsia="zh-CN"/>
              </w:rPr>
            </w:pPr>
            <w:r>
              <w:rPr>
                <w:rFonts w:hint="eastAsia" w:ascii="宋体" w:hAnsi="宋体" w:cs="Arial"/>
                <w:bCs/>
                <w:sz w:val="21"/>
                <w:szCs w:val="18"/>
                <w:lang w:val="en-US" w:eastAsia="zh-CN"/>
              </w:rPr>
              <w:t>第2</w:t>
            </w:r>
            <w:r>
              <w:rPr>
                <w:rFonts w:ascii="宋体" w:hAnsi="宋体" w:cs="Arial"/>
                <w:bCs/>
                <w:sz w:val="21"/>
                <w:szCs w:val="18"/>
                <w:lang w:eastAsia="zh-CN"/>
              </w:rPr>
              <w:t>章</w:t>
            </w:r>
            <w:r>
              <w:rPr>
                <w:rFonts w:hint="eastAsia" w:ascii="宋体" w:hAnsi="宋体" w:cs="Arial"/>
                <w:bCs/>
                <w:sz w:val="21"/>
                <w:szCs w:val="18"/>
                <w:lang w:val="en-US" w:eastAsia="zh-CN"/>
              </w:rPr>
              <w:t>第2</w:t>
            </w:r>
            <w:r>
              <w:rPr>
                <w:rFonts w:ascii="宋体" w:hAnsi="宋体" w:cs="Arial"/>
                <w:bCs/>
                <w:sz w:val="21"/>
                <w:szCs w:val="18"/>
                <w:lang w:eastAsia="zh-CN"/>
              </w:rPr>
              <w:t>节</w:t>
            </w:r>
            <w:r>
              <w:rPr>
                <w:rFonts w:hint="eastAsia" w:ascii="宋体" w:hAnsi="宋体" w:cs="Arial"/>
                <w:bCs/>
                <w:sz w:val="21"/>
                <w:szCs w:val="18"/>
                <w:lang w:eastAsia="zh-CN"/>
              </w:rPr>
              <w:t>（</w:t>
            </w:r>
            <w:r>
              <w:rPr>
                <w:rFonts w:hint="eastAsia" w:ascii="宋体" w:hAnsi="宋体" w:cs="Arial"/>
                <w:bCs/>
                <w:sz w:val="21"/>
                <w:szCs w:val="18"/>
                <w:lang w:val="en-US" w:eastAsia="zh-CN"/>
              </w:rPr>
              <w:t>课本P27~P31</w:t>
            </w:r>
            <w:r>
              <w:rPr>
                <w:rFonts w:hint="eastAsia" w:ascii="宋体" w:hAnsi="宋体" w:cs="Arial"/>
                <w:bCs/>
                <w:sz w:val="21"/>
                <w:szCs w:val="18"/>
                <w:lang w:eastAsia="zh-CN"/>
              </w:rPr>
              <w:t>）</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（2）对教材中对应内容的简要概括（2分）</w:t>
            </w:r>
          </w:p>
          <w:p>
            <w:pPr>
              <w:pStyle w:val="10"/>
              <w:ind w:leftChars="200" w:firstLine="420" w:firstLineChars="200"/>
              <w:rPr>
                <w:rFonts w:hint="default" w:ascii="宋体" w:hAnsi="宋体" w:cs="Arial"/>
                <w:bCs/>
                <w:sz w:val="21"/>
                <w:szCs w:val="18"/>
                <w:lang w:val="en-US" w:eastAsia="zh-CN"/>
              </w:rPr>
            </w:pPr>
            <w:r>
              <w:rPr>
                <w:rFonts w:hint="eastAsia" w:ascii="宋体" w:hAnsi="宋体" w:cs="Arial"/>
                <w:bCs/>
                <w:sz w:val="21"/>
                <w:szCs w:val="18"/>
                <w:lang w:val="en-US" w:eastAsia="zh-CN"/>
              </w:rPr>
              <w:t>该部分列出了伦理抉择的5个基本原则，尊重生命原则——具体指出“人们不应该用计算机和IT给其他人造成直接和间接的伤害”；社会公正原则——具体阐明资源的合理分配要求、人们享受权利和履行义务时应平等；自主原则——商业秘密和个人隐私的保护；诚信原则——计算机虚拟世界的道德基础；知情同意原则——采集、使用个人信息时，应当得到信息主体自愿且知情同意。</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（3）</w:t>
            </w:r>
            <w:r>
              <w:rPr>
                <w:rFonts w:hint="eastAsia" w:ascii="宋体" w:hAnsi="宋体" w:cs="Arial"/>
                <w:bCs/>
                <w:sz w:val="24"/>
                <w:lang w:eastAsia="zh-CN"/>
              </w:rPr>
              <w:t>企业数字化转型中使用个人信息的合规</w:t>
            </w:r>
            <w:r>
              <w:rPr>
                <w:rFonts w:ascii="宋体" w:hAnsi="宋体" w:cs="Arial"/>
                <w:bCs/>
                <w:sz w:val="24"/>
                <w:lang w:eastAsia="zh-CN"/>
              </w:rPr>
              <w:t>问题涉及相同内容（2分）：</w:t>
            </w:r>
          </w:p>
          <w:p>
            <w:pPr>
              <w:pStyle w:val="10"/>
              <w:ind w:leftChars="200" w:firstLine="420" w:firstLineChars="200"/>
              <w:rPr>
                <w:rFonts w:hint="eastAsia" w:ascii="宋体" w:hAnsi="宋体" w:cs="Arial"/>
                <w:bCs/>
                <w:sz w:val="21"/>
                <w:szCs w:val="18"/>
                <w:lang w:val="en-US" w:eastAsia="zh-CN"/>
              </w:rPr>
            </w:pPr>
            <w:r>
              <w:rPr>
                <w:rFonts w:hint="eastAsia" w:ascii="宋体" w:hAnsi="宋体" w:cs="Arial"/>
                <w:bCs/>
                <w:sz w:val="21"/>
                <w:szCs w:val="18"/>
                <w:lang w:val="en-US" w:eastAsia="zh-CN"/>
              </w:rPr>
              <w:t>企业的数字化转型过程中，需要大量的数据作为跟上数字时代发展的资源，这其中就涉及到在对个人信息进行利用过程中的等等问题，于是企业数字化转型中对</w:t>
            </w:r>
            <w:r>
              <w:rPr>
                <w:rFonts w:hint="eastAsia" w:ascii="宋体" w:hAnsi="宋体" w:cs="Arial"/>
                <w:bCs/>
                <w:sz w:val="21"/>
                <w:szCs w:val="18"/>
                <w:lang w:val="en-US" w:eastAsia="zh-CN"/>
              </w:rPr>
              <w:t>个人信息</w:t>
            </w:r>
            <w:r>
              <w:rPr>
                <w:rFonts w:hint="eastAsia" w:ascii="宋体" w:hAnsi="宋体" w:cs="Arial"/>
                <w:bCs/>
                <w:sz w:val="21"/>
                <w:szCs w:val="18"/>
                <w:lang w:val="en-US" w:eastAsia="zh-CN"/>
              </w:rPr>
              <w:t>使用首先就必须符合教材当中提出的5条基本伦理原则。</w:t>
            </w:r>
          </w:p>
          <w:p>
            <w:pPr>
              <w:pStyle w:val="10"/>
              <w:ind w:leftChars="200" w:firstLine="420" w:firstLineChars="200"/>
              <w:rPr>
                <w:rFonts w:hint="eastAsia" w:ascii="宋体" w:hAnsi="宋体" w:cs="Arial"/>
                <w:bCs/>
                <w:sz w:val="21"/>
                <w:szCs w:val="18"/>
                <w:lang w:val="en-US" w:eastAsia="zh-CN"/>
              </w:rPr>
            </w:pPr>
            <w:r>
              <w:rPr>
                <w:rFonts w:hint="eastAsia" w:ascii="宋体" w:hAnsi="宋体" w:cs="Arial"/>
                <w:bCs/>
                <w:sz w:val="21"/>
                <w:szCs w:val="18"/>
                <w:lang w:val="en-US" w:eastAsia="zh-CN"/>
              </w:rPr>
              <w:t>从尊重生命原则</w:t>
            </w:r>
            <w:r>
              <w:rPr>
                <w:rFonts w:hint="eastAsia" w:ascii="宋体" w:hAnsi="宋体" w:cs="Arial"/>
                <w:bCs/>
                <w:sz w:val="21"/>
                <w:szCs w:val="18"/>
                <w:lang w:val="en-US" w:eastAsia="zh-CN"/>
              </w:rPr>
              <w:t>的</w:t>
            </w:r>
            <w:r>
              <w:rPr>
                <w:rFonts w:hint="eastAsia" w:ascii="宋体" w:hAnsi="宋体" w:cs="Arial"/>
                <w:bCs/>
                <w:sz w:val="21"/>
                <w:szCs w:val="18"/>
                <w:lang w:val="en-US" w:eastAsia="zh-CN"/>
              </w:rPr>
              <w:t>角度上，企业对个人信息的采集和利用以及在使用这些数据进行相关分析时，都不应出于个人信息对信息主体产生歧视等个人情绪。从社会公正原则的角度上，个人信息利用给企业带来的收益应在企业、部门、员工以及信息主体中实现合理分配。从自主原则角度出发</w:t>
            </w:r>
            <w:r>
              <w:rPr>
                <w:rFonts w:hint="eastAsia" w:ascii="宋体" w:hAnsi="宋体" w:cs="Arial"/>
                <w:bCs/>
                <w:sz w:val="21"/>
                <w:szCs w:val="18"/>
                <w:lang w:val="en-US" w:eastAsia="zh-CN"/>
              </w:rPr>
              <w:t>，保障个人信息的数据安全，防止数据的泄露，也是降低信息主体在信息被利用过程中受伤害的可能性的重要一环。从诚信原则角度出发，企业应主动对信息接触人员乃至整个企业在职人员提出诚信要求，从这一方面确保个人信息利用的合法合规。从知情同意原则角度出发，企业对个人信息的利用，应得到信息主体的自愿且知情同意。</w:t>
            </w:r>
          </w:p>
          <w:p>
            <w:pPr>
              <w:pStyle w:val="10"/>
              <w:rPr>
                <w:rFonts w:hint="default" w:ascii="宋体" w:hAnsi="宋体" w:cs="Arial"/>
                <w:bCs/>
                <w:sz w:val="21"/>
                <w:szCs w:val="18"/>
                <w:lang w:val="en-US" w:eastAsia="zh-CN"/>
              </w:rPr>
            </w:pPr>
          </w:p>
          <w:p>
            <w:pPr>
              <w:pStyle w:val="10"/>
              <w:rPr>
                <w:rFonts w:ascii="宋体" w:hAnsi="宋体" w:cs="Arial"/>
                <w:bCs/>
                <w:sz w:val="24"/>
                <w:lang w:eastAsia="zh-CN"/>
              </w:rPr>
            </w:pPr>
            <w:r>
              <w:rPr>
                <w:rFonts w:ascii="宋体" w:hAnsi="宋体" w:cs="Arial"/>
                <w:bCs/>
                <w:sz w:val="24"/>
                <w:lang w:eastAsia="zh-CN"/>
              </w:rPr>
              <w:t>（4）关于两者相同之处的简要说明（5分）：</w:t>
            </w:r>
          </w:p>
          <w:p>
            <w:pPr>
              <w:pStyle w:val="10"/>
              <w:ind w:leftChars="200" w:firstLine="420" w:firstLineChars="200"/>
              <w:rPr>
                <w:rFonts w:hint="eastAsia"/>
                <w:lang w:val="en-US" w:eastAsia="zh-CN"/>
              </w:rPr>
            </w:pPr>
            <w:r>
              <w:rPr>
                <w:rFonts w:hint="eastAsia"/>
                <w:lang w:val="en-US" w:eastAsia="zh-CN"/>
              </w:rPr>
              <w:t>《个人信息保护法》和《数据安全法》都根据教材中指出五条伦理抉择基本原则制定了相关法律条文。</w:t>
            </w:r>
          </w:p>
          <w:p>
            <w:pPr>
              <w:pStyle w:val="10"/>
              <w:ind w:leftChars="200" w:firstLine="420" w:firstLineChars="200"/>
              <w:rPr>
                <w:rFonts w:hint="eastAsia"/>
                <w:lang w:val="en-US" w:eastAsia="zh-CN"/>
              </w:rPr>
            </w:pPr>
            <w:r>
              <w:rPr>
                <w:rFonts w:hint="eastAsia"/>
                <w:lang w:val="en-US" w:eastAsia="zh-CN"/>
              </w:rPr>
              <w:t>《个人信息保护法》在总则中提出处理个人信息应采取对个人权益影响最小的方式，这符合了伦理抉择原则中的尊重生命原则；该法律还第五条中明确指出，“处理个人信息应当遵循合法、正当、必要和诚信原则”</w:t>
            </w:r>
            <w:r>
              <w:rPr>
                <w:rFonts w:hint="eastAsia" w:ascii="华光楷体_CNKI" w:hAnsi="华光楷体_CNKI" w:eastAsia="华光楷体_CNKI" w:cs="华光楷体_CNKI"/>
                <w:vertAlign w:val="superscript"/>
                <w:lang w:val="en-US" w:eastAsia="zh-CN"/>
              </w:rPr>
              <w:t>[4]</w:t>
            </w:r>
            <w:r>
              <w:rPr>
                <w:rFonts w:hint="eastAsia"/>
                <w:lang w:val="en-US" w:eastAsia="zh-CN"/>
              </w:rPr>
              <w:t>，这是诚信原则的体现；该法律多次提及“个人同意”，还指出处理个人信息时应做到公开、透明，这符合了伦理原则中的知情同意原则；保证利用个人信息进行决策的结果的公平公正，符合了社会公正原则。</w:t>
            </w:r>
          </w:p>
          <w:p>
            <w:pPr>
              <w:pStyle w:val="10"/>
              <w:ind w:leftChars="200" w:firstLine="420" w:firstLineChars="200"/>
              <w:rPr>
                <w:rFonts w:hint="default"/>
                <w:lang w:val="en-US" w:eastAsia="zh-CN"/>
              </w:rPr>
            </w:pPr>
            <w:r>
              <w:rPr>
                <w:rFonts w:hint="eastAsia"/>
                <w:lang w:val="en-US" w:eastAsia="zh-CN"/>
              </w:rPr>
              <w:t>另外，《数据安全法》也在第八条提出数据处理活动开展应遵循的原则，有如“诚实守信”、“不得损害个人”等，在内容上与教材提出的伦理原则相似。</w:t>
            </w:r>
          </w:p>
        </w:tc>
      </w:tr>
    </w:tbl>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8375"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Arial"/>
                <w:bCs/>
                <w:sz w:val="24"/>
              </w:rPr>
            </w:pPr>
            <w:r>
              <w:rPr>
                <w:rFonts w:ascii="宋体" w:hAnsi="宋体" w:cs="Arial"/>
                <w:bCs/>
                <w:sz w:val="24"/>
              </w:rPr>
              <w:t>知识点2：（10分）</w:t>
            </w:r>
          </w:p>
          <w:p>
            <w:pPr>
              <w:pStyle w:val="10"/>
              <w:rPr>
                <w:rFonts w:ascii="宋体" w:hAnsi="宋体" w:cs="Arial"/>
                <w:bCs/>
                <w:sz w:val="24"/>
              </w:rPr>
            </w:pPr>
            <w:r>
              <w:rPr>
                <w:rFonts w:ascii="宋体" w:hAnsi="宋体" w:cs="Arial"/>
                <w:bCs/>
                <w:sz w:val="24"/>
              </w:rPr>
              <w:t>（1）教材中的对应章节（1分）：</w:t>
            </w:r>
          </w:p>
          <w:p>
            <w:pPr>
              <w:pStyle w:val="10"/>
              <w:ind w:leftChars="200"/>
              <w:rPr>
                <w:rFonts w:hint="default" w:ascii="宋体" w:hAnsi="宋体" w:eastAsia="宋体" w:cs="Arial"/>
                <w:bCs/>
                <w:sz w:val="21"/>
                <w:szCs w:val="18"/>
                <w:lang w:val="en-US" w:eastAsia="zh-CN"/>
              </w:rPr>
            </w:pPr>
            <w:r>
              <w:rPr>
                <w:rFonts w:hint="eastAsia" w:ascii="宋体" w:hAnsi="宋体" w:cs="Arial"/>
                <w:bCs/>
                <w:sz w:val="21"/>
                <w:szCs w:val="18"/>
                <w:lang w:val="en-US" w:eastAsia="zh-CN"/>
              </w:rPr>
              <w:t>第4章第3节（课本P68~P69）</w:t>
            </w:r>
          </w:p>
          <w:p>
            <w:pPr>
              <w:pStyle w:val="10"/>
              <w:rPr>
                <w:rFonts w:ascii="宋体" w:hAnsi="宋体" w:cs="Arial"/>
                <w:bCs/>
                <w:sz w:val="24"/>
              </w:rPr>
            </w:pPr>
          </w:p>
          <w:p>
            <w:pPr>
              <w:pStyle w:val="10"/>
              <w:rPr>
                <w:rFonts w:ascii="宋体" w:hAnsi="宋体" w:cs="Arial"/>
                <w:bCs/>
                <w:sz w:val="24"/>
              </w:rPr>
            </w:pPr>
            <w:r>
              <w:rPr>
                <w:rFonts w:ascii="宋体" w:hAnsi="宋体" w:cs="Arial"/>
                <w:bCs/>
                <w:sz w:val="24"/>
              </w:rPr>
              <w:t>（2）对教材中对应内容的简要概括（2分）：</w:t>
            </w:r>
          </w:p>
          <w:p>
            <w:pPr>
              <w:pStyle w:val="10"/>
              <w:ind w:leftChars="200" w:firstLine="420" w:firstLineChars="200"/>
              <w:rPr>
                <w:rFonts w:hint="default" w:ascii="宋体" w:hAnsi="宋体" w:eastAsia="宋体" w:cs="Arial"/>
                <w:bCs/>
                <w:sz w:val="21"/>
                <w:szCs w:val="18"/>
                <w:lang w:val="en-US" w:eastAsia="zh-CN"/>
              </w:rPr>
            </w:pPr>
            <w:r>
              <w:rPr>
                <w:rFonts w:hint="eastAsia" w:ascii="宋体" w:hAnsi="宋体" w:cs="Arial"/>
                <w:bCs/>
                <w:sz w:val="21"/>
                <w:szCs w:val="18"/>
                <w:lang w:val="en-US" w:eastAsia="zh-CN"/>
              </w:rPr>
              <w:t>教材该部分内容阐述了职业道德规范的定义与功能，提出职业道德规范不仅是一种自律手段，还是一种道德约束和教育。列出了在职业中对专业人员所起的作用或功能——认知功能，道德功能，惩戒功能。</w:t>
            </w:r>
          </w:p>
          <w:p>
            <w:pPr>
              <w:pStyle w:val="10"/>
              <w:rPr>
                <w:rFonts w:ascii="宋体" w:hAnsi="宋体" w:cs="Arial"/>
                <w:bCs/>
                <w:sz w:val="24"/>
              </w:rPr>
            </w:pPr>
          </w:p>
          <w:p>
            <w:pPr>
              <w:pStyle w:val="10"/>
              <w:rPr>
                <w:rFonts w:ascii="宋体" w:hAnsi="宋体" w:cs="Arial"/>
                <w:bCs/>
                <w:sz w:val="24"/>
                <w:lang w:eastAsia="zh-CN"/>
              </w:rPr>
            </w:pPr>
            <w:r>
              <w:rPr>
                <w:rFonts w:ascii="宋体" w:hAnsi="宋体" w:cs="Arial"/>
                <w:bCs/>
                <w:sz w:val="24"/>
                <w:lang w:eastAsia="zh-CN"/>
              </w:rPr>
              <w:t>（3）</w:t>
            </w:r>
            <w:r>
              <w:rPr>
                <w:rFonts w:hint="eastAsia" w:ascii="宋体" w:hAnsi="宋体" w:cs="Arial"/>
                <w:bCs/>
                <w:sz w:val="24"/>
                <w:lang w:eastAsia="zh-CN"/>
              </w:rPr>
              <w:t>企业数字化转型中使用个人信息的合规</w:t>
            </w:r>
            <w:r>
              <w:rPr>
                <w:rFonts w:ascii="宋体" w:hAnsi="宋体" w:cs="Arial"/>
                <w:bCs/>
                <w:sz w:val="24"/>
                <w:lang w:eastAsia="zh-CN"/>
              </w:rPr>
              <w:t>问题涉及相同内容（2分）：</w:t>
            </w:r>
          </w:p>
          <w:p>
            <w:pPr>
              <w:pStyle w:val="10"/>
              <w:ind w:leftChars="200" w:firstLine="420" w:firstLineChars="200"/>
              <w:rPr>
                <w:rFonts w:hint="eastAsia" w:ascii="宋体" w:hAnsi="宋体" w:cs="Arial"/>
                <w:bCs/>
                <w:sz w:val="21"/>
                <w:szCs w:val="18"/>
                <w:lang w:val="en-US" w:eastAsia="zh-CN"/>
              </w:rPr>
            </w:pPr>
            <w:r>
              <w:rPr>
                <w:rFonts w:hint="eastAsia" w:ascii="宋体" w:hAnsi="宋体" w:cs="Arial"/>
                <w:bCs/>
                <w:sz w:val="21"/>
                <w:szCs w:val="18"/>
                <w:lang w:val="en-US" w:eastAsia="zh-CN"/>
              </w:rPr>
              <w:t>企业数字化转型中需要获取大量个人信息数据作为资源，这一过程中就有大量的企业专业人员参与其中，而数据作为一种新资源，其价值与作用同等高，专业人员在获取和处理利用这些资源时，需要面对和克服这些资源的价值诱惑。而职业道德规范在这一过程中就起到了很重要的作用。职业协会对该职业群体和行为制定、规定了相应的责任，使专业人员自觉在行为框架内从事自身工作。</w:t>
            </w:r>
          </w:p>
          <w:p>
            <w:pPr>
              <w:pStyle w:val="10"/>
              <w:ind w:leftChars="200" w:firstLine="420" w:firstLineChars="200"/>
              <w:rPr>
                <w:rFonts w:hint="eastAsia" w:ascii="宋体" w:hAnsi="宋体" w:cs="Arial"/>
                <w:bCs/>
                <w:sz w:val="21"/>
                <w:szCs w:val="18"/>
                <w:lang w:val="en-US" w:eastAsia="zh-CN"/>
              </w:rPr>
            </w:pPr>
            <w:r>
              <w:rPr>
                <w:rFonts w:hint="eastAsia" w:ascii="宋体" w:hAnsi="宋体" w:cs="Arial"/>
                <w:bCs/>
                <w:sz w:val="21"/>
                <w:szCs w:val="18"/>
                <w:lang w:val="en-US" w:eastAsia="zh-CN"/>
              </w:rPr>
              <w:t>职业道德规范3个方面的功能也说明了职业道德规范对于行业专业人员所起到的作用，对于其工作形成一个无形的监督，对其不良行为的规范，对违法行为出现可能性的扼杀。</w:t>
            </w:r>
          </w:p>
          <w:p>
            <w:pPr>
              <w:pStyle w:val="10"/>
              <w:ind w:leftChars="200"/>
              <w:rPr>
                <w:rFonts w:hint="default" w:ascii="宋体" w:hAnsi="宋体" w:cs="Arial"/>
                <w:bCs/>
                <w:sz w:val="21"/>
                <w:szCs w:val="18"/>
                <w:lang w:val="en-US" w:eastAsia="zh-CN"/>
              </w:rPr>
            </w:pPr>
          </w:p>
          <w:p>
            <w:pPr>
              <w:pStyle w:val="10"/>
              <w:rPr>
                <w:rFonts w:ascii="宋体" w:hAnsi="宋体" w:cs="Arial"/>
                <w:bCs/>
                <w:sz w:val="24"/>
              </w:rPr>
            </w:pPr>
            <w:r>
              <w:rPr>
                <w:rFonts w:ascii="宋体" w:hAnsi="宋体" w:cs="Arial"/>
                <w:bCs/>
                <w:sz w:val="24"/>
              </w:rPr>
              <w:t>（4）关于两者相同之处的简要说明（5分）：</w:t>
            </w:r>
          </w:p>
          <w:p>
            <w:pPr>
              <w:pStyle w:val="10"/>
              <w:ind w:leftChars="200" w:firstLine="420" w:firstLineChars="200"/>
              <w:rPr>
                <w:rFonts w:hint="eastAsia"/>
                <w:lang w:val="en-US" w:eastAsia="zh-CN"/>
              </w:rPr>
            </w:pPr>
            <w:r>
              <w:rPr>
                <w:rFonts w:hint="eastAsia"/>
                <w:lang w:val="en-US" w:eastAsia="zh-CN"/>
              </w:rPr>
              <w:t>在《个人信息保护法》中，提出了多条对个人信息处理者的行为约束，例如在第二十条中提出个人信息处理者在处理个人信息时，如果对个人信息权益造成损害，要承担相应责任。这与职业道德规范的提出的目的相同，都对专业人员的行为进行了约束，都规定专业人员在数据处理、信息利用过程中应承担的责任。</w:t>
            </w:r>
          </w:p>
          <w:p>
            <w:pPr>
              <w:pStyle w:val="10"/>
              <w:ind w:leftChars="200" w:firstLine="420" w:firstLineChars="200"/>
              <w:rPr>
                <w:rFonts w:hint="default"/>
                <w:lang w:val="en-US" w:eastAsia="zh-CN"/>
              </w:rPr>
            </w:pPr>
            <w:r>
              <w:rPr>
                <w:rFonts w:hint="eastAsia"/>
                <w:lang w:val="en-US" w:eastAsia="zh-CN"/>
              </w:rPr>
              <w:t>《数据安全法》在第六条中指出部门在进行数据收集利用工作中应对数据安全负责，提出部门应在各自职责范围内承担相应的安全监管职责，这也是改法律与教材中职业道德规范这一部分内容的相同之处。</w:t>
            </w:r>
          </w:p>
        </w:tc>
      </w:tr>
    </w:tbl>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3208"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Arial"/>
                <w:bCs/>
                <w:sz w:val="24"/>
                <w:lang w:eastAsia="zh-CN"/>
              </w:rPr>
            </w:pPr>
            <w:r>
              <w:rPr>
                <w:rFonts w:ascii="宋体" w:hAnsi="宋体" w:cs="Arial"/>
                <w:bCs/>
                <w:sz w:val="24"/>
                <w:lang w:eastAsia="zh-CN"/>
              </w:rPr>
              <w:t>知识点3：（10分）</w:t>
            </w:r>
          </w:p>
          <w:p>
            <w:pPr>
              <w:pStyle w:val="10"/>
              <w:rPr>
                <w:rFonts w:ascii="宋体" w:hAnsi="宋体" w:cs="Arial"/>
                <w:bCs/>
                <w:sz w:val="24"/>
                <w:lang w:eastAsia="zh-CN"/>
              </w:rPr>
            </w:pPr>
            <w:r>
              <w:rPr>
                <w:rFonts w:ascii="宋体" w:hAnsi="宋体" w:cs="Arial"/>
                <w:bCs/>
                <w:sz w:val="24"/>
                <w:lang w:eastAsia="zh-CN"/>
              </w:rPr>
              <w:t>（1）教材中的对应章节（1分）：</w:t>
            </w:r>
          </w:p>
          <w:p>
            <w:pPr>
              <w:pStyle w:val="10"/>
              <w:ind w:leftChars="200"/>
              <w:rPr>
                <w:rFonts w:hint="default" w:ascii="宋体" w:hAnsi="宋体" w:cs="Arial"/>
                <w:bCs/>
                <w:sz w:val="21"/>
                <w:szCs w:val="18"/>
                <w:lang w:val="en-US" w:eastAsia="zh-CN"/>
              </w:rPr>
            </w:pPr>
            <w:r>
              <w:rPr>
                <w:rFonts w:hint="eastAsia" w:ascii="宋体" w:hAnsi="宋体" w:cs="Arial"/>
                <w:bCs/>
                <w:sz w:val="21"/>
                <w:szCs w:val="18"/>
                <w:lang w:val="en-US" w:eastAsia="zh-CN"/>
              </w:rPr>
              <w:t>第6章第3节（课本P109~P112）</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（2）对教材中对应内容的简要概括（2分）：</w:t>
            </w:r>
          </w:p>
          <w:p>
            <w:pPr>
              <w:pStyle w:val="10"/>
              <w:ind w:leftChars="200" w:firstLine="420" w:firstLineChars="200"/>
              <w:rPr>
                <w:rFonts w:hint="default" w:ascii="宋体" w:hAnsi="宋体" w:cs="Arial"/>
                <w:bCs/>
                <w:sz w:val="21"/>
                <w:szCs w:val="18"/>
                <w:lang w:val="en-US" w:eastAsia="zh-CN"/>
              </w:rPr>
            </w:pPr>
            <w:r>
              <w:rPr>
                <w:rFonts w:hint="eastAsia" w:ascii="宋体" w:hAnsi="宋体" w:cs="Arial"/>
                <w:bCs/>
                <w:sz w:val="21"/>
                <w:szCs w:val="18"/>
                <w:lang w:val="en-US" w:eastAsia="zh-CN"/>
              </w:rPr>
              <w:t>教材该部分内容提出了IT风险分析评估和管理过程。基于对数据的处理、存取、获取等操作存在的隐患以及计算机系统安全隐患归纳出5条IT风险类型，详细列举了IT风险的管理过程，主要有对于风险的确定、分析、规划、跟踪和控制。</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（3）</w:t>
            </w:r>
            <w:r>
              <w:rPr>
                <w:rFonts w:hint="eastAsia" w:ascii="宋体" w:hAnsi="宋体" w:cs="Arial"/>
                <w:bCs/>
                <w:sz w:val="24"/>
                <w:lang w:eastAsia="zh-CN"/>
              </w:rPr>
              <w:t>企业数字化转型中使用个人信息的合规</w:t>
            </w:r>
            <w:r>
              <w:rPr>
                <w:rFonts w:ascii="宋体" w:hAnsi="宋体" w:cs="Arial"/>
                <w:bCs/>
                <w:sz w:val="24"/>
                <w:lang w:eastAsia="zh-CN"/>
              </w:rPr>
              <w:t>问题涉及相同内容（2分）：×××</w:t>
            </w:r>
          </w:p>
          <w:p>
            <w:pPr>
              <w:pStyle w:val="10"/>
              <w:ind w:leftChars="200" w:firstLine="420" w:firstLineChars="200"/>
              <w:rPr>
                <w:rFonts w:hint="default" w:ascii="宋体" w:hAnsi="宋体" w:cs="Arial"/>
                <w:bCs/>
                <w:sz w:val="21"/>
                <w:szCs w:val="18"/>
                <w:lang w:val="en-US" w:eastAsia="zh-CN"/>
              </w:rPr>
            </w:pPr>
            <w:r>
              <w:rPr>
                <w:rFonts w:hint="eastAsia" w:ascii="宋体" w:hAnsi="宋体" w:cs="Arial"/>
                <w:bCs/>
                <w:sz w:val="21"/>
                <w:szCs w:val="18"/>
                <w:lang w:val="en-US" w:eastAsia="zh-CN"/>
              </w:rPr>
              <w:t>企业数字化转型过程中必然需要大量数据，当数据数量大、涉及信息主体足够多时，对存取数据系统、数据操作系统的风险评估和有效控制就显得十分重要了。企业使用个人信息过程中，需要主动培养技术部门及员工的风险意识，使技术部门员工对风险类型、风险管理过程有明确的认识。企业要能够完善风险管理各个过程，增大对风险评估的人力、财力投入，降低企业在使用个人信息的过程中产生风险的可能性，提高企业处理数据系统风险等的能力。</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（4）关于两者相同之处的简要说明（5分）：</w:t>
            </w:r>
          </w:p>
          <w:p>
            <w:pPr>
              <w:pStyle w:val="10"/>
              <w:ind w:leftChars="200" w:firstLine="420" w:firstLineChars="200"/>
              <w:rPr>
                <w:rFonts w:hint="eastAsia"/>
                <w:lang w:val="en-US" w:eastAsia="zh-CN"/>
              </w:rPr>
            </w:pPr>
            <w:r>
              <w:rPr>
                <w:rFonts w:hint="eastAsia"/>
                <w:lang w:val="en-US" w:eastAsia="zh-CN"/>
              </w:rPr>
              <w:t>涉及风险评估内容部分主要体现在《数据安全法》。《数据安全法》第十八条和第二十二条都指出国家对数据安全风险评估所做的工作，提出国家在该方面相应的措施、方案；另外，在第二十九条和第三十条，《数据安全法》指出数据处理者应加强数据风险检测力度，应定期展开数据风险评估活动，能够具备一定的措施以处理数据安全风险带来的问题。还提出了数据处理者在向有关部门提交风险评估报告时，对报告的具体要求。</w:t>
            </w:r>
          </w:p>
          <w:p>
            <w:pPr>
              <w:pStyle w:val="10"/>
              <w:ind w:leftChars="200" w:firstLine="420" w:firstLineChars="200"/>
              <w:rPr>
                <w:rFonts w:hint="eastAsia"/>
                <w:lang w:val="en-US" w:eastAsia="zh-CN"/>
              </w:rPr>
            </w:pPr>
            <w:r>
              <w:rPr>
                <w:rFonts w:hint="eastAsia"/>
                <w:lang w:val="en-US" w:eastAsia="zh-CN"/>
              </w:rPr>
              <w:t>另外，在《个人信息保护法》中，也有相同的内容提及。在该法律第五十五条中，突出个人信息处理者在面对“处理敏感个人信息”、“利用个人信息进行自动化决策”等情况时，应事先对个人信息保护影响进行评估。</w:t>
            </w:r>
          </w:p>
          <w:p>
            <w:pPr>
              <w:pStyle w:val="10"/>
              <w:ind w:leftChars="200" w:firstLine="420" w:firstLineChars="200"/>
              <w:rPr>
                <w:rFonts w:hint="default"/>
                <w:lang w:val="en-US" w:eastAsia="zh-CN"/>
              </w:rPr>
            </w:pPr>
            <w:r>
              <w:rPr>
                <w:rFonts w:hint="eastAsia"/>
                <w:lang w:val="en-US" w:eastAsia="zh-CN"/>
              </w:rPr>
              <w:t>这些法律及课本中提及的对数据风险的评估的要求，都是为了减少数据处理和利用、个人信息获取和合规使用过程中可能面临的问题，有效降低数据风险。</w:t>
            </w:r>
          </w:p>
        </w:tc>
      </w:tr>
    </w:tbl>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tbl>
      <w:tblPr>
        <w:tblStyle w:val="5"/>
        <w:tblW w:w="906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06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3590" w:hRule="atLeast"/>
        </w:trPr>
        <w:tc>
          <w:tcPr>
            <w:tcW w:w="906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Arial"/>
                <w:bCs/>
                <w:sz w:val="24"/>
                <w:lang w:eastAsia="zh-CN"/>
              </w:rPr>
            </w:pPr>
            <w:r>
              <w:rPr>
                <w:rFonts w:ascii="宋体" w:hAnsi="宋体" w:cs="Arial"/>
                <w:bCs/>
                <w:sz w:val="24"/>
                <w:lang w:eastAsia="zh-CN"/>
              </w:rPr>
              <w:t>知识点4：（10分）</w:t>
            </w:r>
          </w:p>
          <w:p>
            <w:pPr>
              <w:pStyle w:val="10"/>
              <w:rPr>
                <w:rFonts w:ascii="宋体" w:hAnsi="宋体" w:cs="Arial"/>
                <w:bCs/>
                <w:sz w:val="24"/>
                <w:lang w:eastAsia="zh-CN"/>
              </w:rPr>
            </w:pPr>
            <w:r>
              <w:rPr>
                <w:rFonts w:ascii="宋体" w:hAnsi="宋体" w:cs="Arial"/>
                <w:bCs/>
                <w:sz w:val="24"/>
                <w:lang w:eastAsia="zh-CN"/>
              </w:rPr>
              <w:t>（1）教材中的对应章节（1分）：</w:t>
            </w:r>
          </w:p>
          <w:p>
            <w:pPr>
              <w:pStyle w:val="10"/>
              <w:ind w:leftChars="200"/>
              <w:rPr>
                <w:rFonts w:hint="default" w:ascii="宋体" w:hAnsi="宋体" w:cs="Arial"/>
                <w:bCs/>
                <w:sz w:val="21"/>
                <w:szCs w:val="18"/>
                <w:lang w:val="en-US" w:eastAsia="zh-CN"/>
              </w:rPr>
            </w:pPr>
            <w:r>
              <w:rPr>
                <w:rFonts w:hint="eastAsia" w:ascii="宋体" w:hAnsi="宋体" w:cs="Arial"/>
                <w:bCs/>
                <w:sz w:val="21"/>
                <w:szCs w:val="18"/>
                <w:lang w:val="en-US" w:eastAsia="zh-CN"/>
              </w:rPr>
              <w:t>第8章第3节（课本P155~P162）</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（2）对教材中对应内容的简要概括（2分）：</w:t>
            </w:r>
          </w:p>
          <w:p>
            <w:pPr>
              <w:pStyle w:val="10"/>
              <w:ind w:leftChars="200" w:firstLine="420" w:firstLineChars="200"/>
              <w:rPr>
                <w:rFonts w:hint="default" w:ascii="宋体" w:hAnsi="宋体" w:cs="Arial"/>
                <w:bCs/>
                <w:sz w:val="21"/>
                <w:szCs w:val="18"/>
                <w:lang w:val="en-US" w:eastAsia="zh-CN"/>
              </w:rPr>
            </w:pPr>
            <w:r>
              <w:rPr>
                <w:rFonts w:hint="eastAsia" w:ascii="宋体" w:hAnsi="宋体" w:cs="Arial"/>
                <w:bCs/>
                <w:sz w:val="21"/>
                <w:szCs w:val="18"/>
                <w:lang w:val="en-US" w:eastAsia="zh-CN"/>
              </w:rPr>
              <w:t>教材在该部分内容中阐述了出于对隐私权的保护建立的相关法律及其执行机制，在全社会形成道德意识和道德规范。列举了欧盟、美国、英国等对于个人信息保护的做法，都制定相应法律法规，指出个人信息搜集者在搜集个人信息时应遵循的原则，明确指出对个人信息的泄露或信息使用过程中对信息主体造成危害需要对主体进行相应的赔偿。指出尊重个人隐私是必要的道德要求。</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（3）</w:t>
            </w:r>
            <w:r>
              <w:rPr>
                <w:rFonts w:hint="eastAsia" w:ascii="宋体" w:hAnsi="宋体" w:cs="Arial"/>
                <w:bCs/>
                <w:sz w:val="24"/>
                <w:lang w:eastAsia="zh-CN"/>
              </w:rPr>
              <w:t>企业数字化转型中使用个人信息的合规</w:t>
            </w:r>
            <w:r>
              <w:rPr>
                <w:rFonts w:ascii="宋体" w:hAnsi="宋体" w:cs="Arial"/>
                <w:bCs/>
                <w:sz w:val="24"/>
                <w:lang w:eastAsia="zh-CN"/>
              </w:rPr>
              <w:t>问题涉及相同内容（2分）：</w:t>
            </w:r>
          </w:p>
          <w:p>
            <w:pPr>
              <w:pStyle w:val="10"/>
              <w:ind w:leftChars="200" w:firstLine="420" w:firstLineChars="200"/>
              <w:rPr>
                <w:rFonts w:hint="eastAsia" w:ascii="宋体" w:hAnsi="宋体" w:cs="Arial"/>
                <w:bCs/>
                <w:sz w:val="21"/>
                <w:szCs w:val="18"/>
                <w:lang w:val="en-US" w:eastAsia="zh-CN"/>
              </w:rPr>
            </w:pPr>
            <w:r>
              <w:rPr>
                <w:rFonts w:hint="eastAsia" w:ascii="宋体" w:hAnsi="宋体" w:cs="Arial"/>
                <w:bCs/>
                <w:sz w:val="21"/>
                <w:szCs w:val="18"/>
                <w:lang w:val="en-US" w:eastAsia="zh-CN"/>
              </w:rPr>
              <w:t>隐私保护问题是所有涉及信息主体个人利益时，应加强重视的问题。企业使用个人信息，就需要保证信息主体的隐私能够得到保护，只有信息主体的隐私得到保护，才能使他们觉得自己的数据所处环境是安全的，企业能够更好的获取个人信息，作为自身数字转型的资源。</w:t>
            </w:r>
          </w:p>
          <w:p>
            <w:pPr>
              <w:pStyle w:val="10"/>
              <w:ind w:leftChars="200"/>
              <w:rPr>
                <w:rFonts w:hint="default" w:ascii="宋体" w:hAnsi="宋体" w:cs="Arial"/>
                <w:bCs/>
                <w:sz w:val="21"/>
                <w:szCs w:val="18"/>
                <w:lang w:val="en-US" w:eastAsia="zh-CN"/>
              </w:rPr>
            </w:pPr>
            <w:r>
              <w:rPr>
                <w:rFonts w:hint="eastAsia" w:ascii="宋体" w:hAnsi="宋体" w:cs="Arial"/>
                <w:bCs/>
                <w:sz w:val="21"/>
                <w:szCs w:val="18"/>
                <w:lang w:val="en-US" w:eastAsia="zh-CN"/>
              </w:rPr>
              <w:t>制定一定的法律法规对企业行为进行约束，实现企业利用个人信息的规范化；同时，企业自身也需要采取一定的技术手段，对个人信息进行有效保护。只有得到得到保护，才能感到信息安全。</w:t>
            </w:r>
          </w:p>
          <w:p>
            <w:pPr>
              <w:pStyle w:val="10"/>
              <w:rPr>
                <w:rFonts w:ascii="宋体" w:hAnsi="宋体" w:cs="Arial"/>
                <w:bCs/>
                <w:sz w:val="24"/>
                <w:lang w:eastAsia="zh-CN"/>
              </w:rPr>
            </w:pPr>
          </w:p>
          <w:p>
            <w:pPr>
              <w:pStyle w:val="10"/>
              <w:rPr>
                <w:rFonts w:ascii="宋体" w:hAnsi="宋体" w:cs="Arial"/>
                <w:bCs/>
                <w:sz w:val="24"/>
                <w:lang w:eastAsia="zh-CN"/>
              </w:rPr>
            </w:pPr>
            <w:r>
              <w:rPr>
                <w:rFonts w:ascii="宋体" w:hAnsi="宋体" w:cs="Arial"/>
                <w:bCs/>
                <w:sz w:val="24"/>
                <w:lang w:eastAsia="zh-CN"/>
              </w:rPr>
              <w:t>（4）关于两者相同之处的简要说明（5分）：</w:t>
            </w:r>
          </w:p>
          <w:p>
            <w:pPr>
              <w:pStyle w:val="10"/>
              <w:ind w:leftChars="200" w:firstLine="420" w:firstLineChars="200"/>
              <w:rPr>
                <w:rFonts w:hint="eastAsia"/>
                <w:lang w:val="en-US" w:eastAsia="zh-CN"/>
              </w:rPr>
            </w:pPr>
            <w:r>
              <w:rPr>
                <w:rFonts w:hint="eastAsia"/>
                <w:lang w:val="en-US" w:eastAsia="zh-CN"/>
              </w:rPr>
              <w:t>在《数据安全法》中，提出了对于数据遭到纂改、破坏、泄露或非法获取、利用等情况应实行分级保护。国家建立分级保护制度，也是对于有关部门提出履行数据的分级保护的义务，是对数据进行合理利用过程中，对于隐私的有效保护。</w:t>
            </w:r>
          </w:p>
          <w:p>
            <w:pPr>
              <w:pStyle w:val="10"/>
              <w:ind w:leftChars="200" w:firstLine="420" w:firstLineChars="200"/>
              <w:rPr>
                <w:rFonts w:hint="eastAsia"/>
                <w:lang w:val="en-US" w:eastAsia="zh-CN"/>
              </w:rPr>
            </w:pPr>
            <w:r>
              <w:rPr>
                <w:rFonts w:hint="eastAsia"/>
                <w:lang w:val="en-US" w:eastAsia="zh-CN"/>
              </w:rPr>
              <w:t>在《个人信息保护法》的第五十一条中</w:t>
            </w:r>
            <w:r>
              <w:rPr>
                <w:rFonts w:hint="eastAsia" w:ascii="华光楷体_CNKI" w:hAnsi="华光楷体_CNKI" w:eastAsia="华光楷体_CNKI" w:cs="华光楷体_CNKI"/>
                <w:vertAlign w:val="superscript"/>
                <w:lang w:val="en-US" w:eastAsia="zh-CN"/>
              </w:rPr>
              <w:t>[4]</w:t>
            </w:r>
            <w:r>
              <w:rPr>
                <w:rFonts w:hint="eastAsia"/>
                <w:lang w:val="en-US" w:eastAsia="zh-CN"/>
              </w:rPr>
              <w:t>，也提出个人信息处理者在对个人信息处理的过程总应符合法律法规的规定，应采取相应措施防止个人信息的泄露、丢失等。</w:t>
            </w:r>
          </w:p>
          <w:p>
            <w:pPr>
              <w:pStyle w:val="10"/>
              <w:ind w:leftChars="200" w:firstLine="420" w:firstLineChars="200"/>
              <w:rPr>
                <w:rFonts w:hint="default"/>
                <w:lang w:val="en-US" w:eastAsia="zh-CN"/>
              </w:rPr>
            </w:pPr>
            <w:r>
              <w:rPr>
                <w:rFonts w:hint="eastAsia"/>
                <w:lang w:val="en-US" w:eastAsia="zh-CN"/>
              </w:rPr>
              <w:t>另外，法律中提出的在个人信息处理活动或数据使用中出现违规行为时，对相关部门和人员的问责，是对于隐私保护的政策措施，从保护个人隐私和数据安全角度上看，这一点与教材中提出的隐私保护的技术措施也具备了相同之处。</w:t>
            </w:r>
          </w:p>
        </w:tc>
      </w:tr>
    </w:tbl>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p>
      <w:pPr>
        <w:pStyle w:val="10"/>
        <w:numPr>
          <w:ilvl w:val="0"/>
          <w:numId w:val="5"/>
        </w:numPr>
        <w:tabs>
          <w:tab w:val="left" w:pos="420"/>
        </w:tabs>
        <w:rPr>
          <w:rFonts w:ascii="宋体" w:hAnsi="宋体" w:cs="宋体"/>
          <w:b/>
          <w:bCs/>
          <w:lang w:val="zh-TW" w:eastAsia="zh-TW"/>
        </w:rPr>
      </w:pPr>
      <w:r>
        <w:rPr>
          <w:rFonts w:ascii="宋体" w:hAnsi="宋体" w:cs="宋体"/>
          <w:b/>
          <w:bCs/>
          <w:color w:val="0000FF"/>
          <w:u w:val="none" w:color="0000FF"/>
          <w:lang w:val="zh-TW" w:eastAsia="zh-TW"/>
        </w:rPr>
        <w:br w:type="page"/>
      </w:r>
      <w:r>
        <w:rPr>
          <w:rFonts w:ascii="宋体" w:hAnsi="宋体" w:cs="宋体"/>
          <w:b/>
          <w:bCs/>
          <w:u w:val="none" w:color="0000FF"/>
          <w:lang w:val="zh-TW" w:eastAsia="zh-TW"/>
        </w:rPr>
        <w:t>个人阐述。（</w:t>
      </w:r>
      <w:r>
        <w:rPr>
          <w:rFonts w:ascii="宋体" w:hAnsi="宋体" w:cs="宋体"/>
          <w:b/>
          <w:bCs/>
          <w:u w:val="none" w:color="0000FF"/>
        </w:rPr>
        <w:t>40</w:t>
      </w:r>
      <w:r>
        <w:rPr>
          <w:rFonts w:ascii="宋体" w:hAnsi="宋体" w:cs="宋体"/>
          <w:b/>
          <w:bCs/>
          <w:u w:val="none" w:color="0000FF"/>
          <w:lang w:val="zh-TW" w:eastAsia="zh-TW"/>
        </w:rPr>
        <w:t>分）</w:t>
      </w:r>
    </w:p>
    <w:p>
      <w:pPr>
        <w:pStyle w:val="10"/>
        <w:spacing w:line="240" w:lineRule="auto"/>
        <w:rPr>
          <w:rFonts w:ascii="宋体" w:hAnsi="宋体" w:cs="宋体"/>
          <w:b/>
          <w:bCs/>
          <w:color w:val="0000FF"/>
          <w:u w:val="none" w:color="0000FF"/>
          <w:lang w:val="zh-TW" w:eastAsia="zh-TW"/>
        </w:rPr>
      </w:pPr>
      <w:r>
        <w:rPr>
          <w:rFonts w:ascii="宋体" w:hAnsi="宋体" w:cs="宋体"/>
          <w:b/>
          <w:bCs/>
          <w:u w:val="none" w:color="0000FF"/>
          <w:lang w:eastAsia="zh-CN"/>
        </w:rPr>
        <w:t xml:space="preserve">3.1 </w:t>
      </w:r>
      <w:r>
        <w:rPr>
          <w:rFonts w:hint="eastAsia" w:ascii="宋体" w:hAnsi="宋体" w:eastAsia="宋体" w:cs="宋体"/>
          <w:sz w:val="24"/>
          <w:szCs w:val="24"/>
          <w:lang w:val="zh-TW" w:eastAsia="zh-TW"/>
        </w:rPr>
        <w:t>结合（</w:t>
      </w:r>
      <w:r>
        <w:rPr>
          <w:rFonts w:hint="eastAsia" w:ascii="宋体" w:hAnsi="宋体" w:eastAsia="宋体" w:cs="宋体"/>
          <w:sz w:val="24"/>
          <w:szCs w:val="24"/>
          <w:lang w:eastAsia="zh-CN"/>
        </w:rPr>
        <w:t>1</w:t>
      </w:r>
      <w:r>
        <w:rPr>
          <w:rFonts w:hint="eastAsia" w:ascii="宋体" w:hAnsi="宋体" w:eastAsia="宋体" w:cs="宋体"/>
          <w:sz w:val="24"/>
          <w:szCs w:val="24"/>
          <w:lang w:val="zh-TW" w:eastAsia="zh-TW"/>
        </w:rPr>
        <w:t>）和（</w:t>
      </w:r>
      <w:r>
        <w:rPr>
          <w:rFonts w:hint="eastAsia" w:ascii="宋体" w:hAnsi="宋体" w:eastAsia="宋体" w:cs="宋体"/>
          <w:sz w:val="24"/>
          <w:szCs w:val="24"/>
          <w:lang w:eastAsia="zh-CN"/>
        </w:rPr>
        <w:t>2</w:t>
      </w:r>
      <w:r>
        <w:rPr>
          <w:rFonts w:hint="eastAsia" w:ascii="宋体" w:hAnsi="宋体" w:eastAsia="宋体" w:cs="宋体"/>
          <w:sz w:val="24"/>
          <w:szCs w:val="24"/>
          <w:lang w:val="zh-TW" w:eastAsia="zh-TW"/>
        </w:rPr>
        <w:t>），对《中华人民共和国数据安全法》和《中华人民共和国个人信息保护法》中个人信息保护问题，结合</w:t>
      </w:r>
      <w:r>
        <w:rPr>
          <w:rFonts w:hint="eastAsia" w:ascii="宋体" w:hAnsi="宋体" w:eastAsia="宋体" w:cs="宋体"/>
          <w:bCs/>
          <w:sz w:val="24"/>
          <w:lang w:eastAsia="zh-CN"/>
        </w:rPr>
        <w:t>企业数字化转型中采集、加工和使用个人信息中潜在的违规风险进行分析，阐述</w:t>
      </w:r>
      <w:r>
        <w:rPr>
          <w:rFonts w:hint="eastAsia" w:ascii="宋体" w:hAnsi="宋体" w:eastAsia="宋体" w:cs="宋体"/>
          <w:sz w:val="24"/>
          <w:szCs w:val="24"/>
          <w:lang w:val="zh-TW" w:eastAsia="zh-TW"/>
        </w:rPr>
        <w:t>自己的观点和看法</w:t>
      </w:r>
      <w:r>
        <w:rPr>
          <w:rFonts w:hint="eastAsia" w:ascii="宋体" w:hAnsi="宋体" w:eastAsia="宋体" w:cs="宋体"/>
          <w:sz w:val="24"/>
          <w:szCs w:val="24"/>
          <w:lang w:val="zh-TW" w:eastAsia="zh-CN"/>
        </w:rPr>
        <w:t>。</w:t>
      </w:r>
    </w:p>
    <w:p>
      <w:pPr>
        <w:pStyle w:val="10"/>
        <w:rPr>
          <w:rFonts w:ascii="宋体" w:hAnsi="宋体" w:cs="宋体"/>
          <w:b/>
          <w:bCs/>
          <w:color w:val="0000FF"/>
          <w:u w:val="none" w:color="0000FF"/>
          <w:lang w:eastAsia="zh-CN"/>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339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ind w:firstLine="420" w:firstLineChars="200"/>
              <w:rPr>
                <w:rFonts w:hint="default"/>
                <w:lang w:val="en-US" w:eastAsia="zh-CN"/>
              </w:rPr>
            </w:pPr>
            <w:r>
              <w:rPr>
                <w:rFonts w:hint="eastAsia"/>
                <w:lang w:val="en-US" w:eastAsia="zh-CN"/>
              </w:rPr>
              <w:t>企业数字化转型过程中，最重要或使用最多的就是个人信息数据，而这也使得违法违规采集、加工、使用个人信息的问题突出。例如企业获取个人信息数据时，存在部分“默认授权”行为，未得到信息主体的明确同意就将个人数据作为一种资源使用；又如企业过度采集个人信息中，与企业发展方向或项目研究方向无关的信息，对于这部分过度收集得来的信息又无法做到很好的数据保护，造成一些数据泄露的问题。</w:t>
            </w:r>
          </w:p>
          <w:p>
            <w:pPr>
              <w:pStyle w:val="10"/>
              <w:ind w:firstLine="420" w:firstLineChars="200"/>
              <w:rPr>
                <w:rFonts w:hint="eastAsia"/>
                <w:lang w:val="en-US" w:eastAsia="zh-CN"/>
              </w:rPr>
            </w:pPr>
            <w:r>
              <w:rPr>
                <w:rFonts w:hint="eastAsia"/>
                <w:lang w:val="en-US" w:eastAsia="zh-CN"/>
              </w:rPr>
              <w:t>《个人信息保护法》在第四条中指出，“个人信息是以电子或者其他方式记录的与已识别或者可识别的自然人有关的各种信息，不包括匿名化处理后的信息”</w:t>
            </w:r>
            <w:r>
              <w:rPr>
                <w:rFonts w:hint="eastAsia" w:ascii="华光楷体_CNKI" w:hAnsi="华光楷体_CNKI" w:eastAsia="华光楷体_CNKI" w:cs="华光楷体_CNKI"/>
                <w:vertAlign w:val="superscript"/>
                <w:lang w:val="en-US" w:eastAsia="zh-CN"/>
              </w:rPr>
              <w:t>[4]</w:t>
            </w:r>
            <w:r>
              <w:rPr>
                <w:rFonts w:hint="eastAsia"/>
                <w:lang w:val="en-US" w:eastAsia="zh-CN"/>
              </w:rPr>
              <w:t>。对于需要得到个人信息主体授权的数据采集进行了明确的划分，但对于大多数企业个人信息处理者而言，法律知识的学习和认识不够全面，可能就会在对个人信息进行采集、加工、使用过程中，无意识地违反相关法律法规。因此，我认为明确界定信息收集过程中可能出现的违法违规行为是个人信息处理者开展合规合法工作的重要前提，有必要时，企业应加强相应部门对于个人信息处理者法律意识培养的力度。</w:t>
            </w:r>
          </w:p>
          <w:p>
            <w:pPr>
              <w:pStyle w:val="10"/>
              <w:ind w:firstLine="420" w:firstLineChars="200"/>
              <w:rPr>
                <w:lang w:eastAsia="zh-CN"/>
              </w:rPr>
            </w:pPr>
            <w:r>
              <w:rPr>
                <w:rFonts w:hint="eastAsia"/>
                <w:lang w:val="en-US" w:eastAsia="zh-CN"/>
              </w:rPr>
              <w:t>《个人信息保护法》和《数据安全法》的出台，已经很大程度上改善了数字化发展初期数据混乱、数据泄露风险大等问题。国家加大了对数据风险评估的投入，对于企业、部门、专业人员提出了进行评估的要求，都是为了减少个人信息处理过程中可能会遇到的风险；</w:t>
            </w:r>
          </w:p>
          <w:p>
            <w:pPr>
              <w:pStyle w:val="10"/>
              <w:rPr>
                <w:lang w:eastAsia="zh-CN"/>
              </w:rPr>
            </w:pPr>
          </w:p>
        </w:tc>
      </w:tr>
    </w:tbl>
    <w:p>
      <w:pPr>
        <w:pStyle w:val="10"/>
        <w:rPr>
          <w:rFonts w:ascii="宋体" w:hAnsi="宋体" w:cs="宋体"/>
          <w:b/>
          <w:bCs/>
          <w:color w:val="0000FF"/>
          <w:u w:val="none" w:color="0000FF"/>
          <w:lang w:eastAsia="zh-CN"/>
        </w:rPr>
      </w:pPr>
    </w:p>
    <w:p>
      <w:pPr>
        <w:pStyle w:val="10"/>
        <w:rPr>
          <w:lang w:eastAsia="zh-CN"/>
        </w:rPr>
      </w:pPr>
    </w:p>
    <w:p>
      <w:pPr>
        <w:pStyle w:val="10"/>
        <w:rPr>
          <w:rFonts w:ascii="宋体" w:hAnsi="宋体" w:cs="宋体"/>
          <w:sz w:val="24"/>
          <w:szCs w:val="24"/>
          <w:lang w:val="zh-TW" w:eastAsia="zh-TW"/>
        </w:rPr>
      </w:pPr>
      <w:r>
        <w:rPr>
          <w:rFonts w:ascii="宋体" w:hAnsi="宋体" w:cs="宋体"/>
          <w:b/>
          <w:bCs/>
          <w:u w:val="none" w:color="0000FF"/>
          <w:lang w:eastAsia="zh-CN"/>
        </w:rPr>
        <w:t>3.2</w:t>
      </w:r>
      <w:r>
        <w:rPr>
          <w:rFonts w:ascii="宋体" w:hAnsi="宋体" w:cs="宋体"/>
          <w:sz w:val="24"/>
          <w:szCs w:val="24"/>
          <w:lang w:val="zh-TW" w:eastAsia="zh-TW"/>
        </w:rPr>
        <w:t>搜索</w:t>
      </w:r>
      <w:r>
        <w:rPr>
          <w:rFonts w:hint="eastAsia" w:ascii="宋体" w:hAnsi="宋体" w:cs="宋体"/>
          <w:sz w:val="24"/>
          <w:szCs w:val="24"/>
          <w:lang w:val="zh-TW" w:eastAsia="zh-TW"/>
        </w:rPr>
        <w:t>企业在个人信息保护问题违规的</w:t>
      </w:r>
      <w:r>
        <w:rPr>
          <w:rFonts w:ascii="宋体" w:hAnsi="宋体" w:cs="宋体"/>
          <w:sz w:val="24"/>
          <w:szCs w:val="24"/>
          <w:lang w:val="zh-TW" w:eastAsia="zh-TW"/>
        </w:rPr>
        <w:t>案例，论述</w:t>
      </w:r>
      <w:r>
        <w:rPr>
          <w:rFonts w:hint="eastAsia" w:ascii="宋体" w:hAnsi="宋体" w:cs="宋体"/>
          <w:sz w:val="24"/>
          <w:szCs w:val="24"/>
          <w:lang w:val="zh-TW" w:eastAsia="zh-TW"/>
        </w:rPr>
        <w:t>探讨企业违规带来的影响及可行的改善意见</w:t>
      </w:r>
      <w:r>
        <w:rPr>
          <w:rFonts w:ascii="宋体" w:hAnsi="宋体" w:cs="宋体"/>
          <w:sz w:val="24"/>
          <w:szCs w:val="24"/>
          <w:lang w:val="zh-TW" w:eastAsia="zh-TW"/>
        </w:rPr>
        <w:t>。</w:t>
      </w:r>
      <w:r>
        <w:rPr>
          <w:rFonts w:ascii="宋体" w:hAnsi="宋体" w:cs="宋体"/>
          <w:sz w:val="24"/>
          <w:szCs w:val="24"/>
          <w:lang w:eastAsia="zh-CN"/>
        </w:rPr>
        <w:t>(</w:t>
      </w:r>
      <w:r>
        <w:rPr>
          <w:rFonts w:ascii="宋体" w:hAnsi="宋体" w:cs="宋体"/>
          <w:sz w:val="24"/>
          <w:szCs w:val="24"/>
          <w:lang w:val="zh-TW" w:eastAsia="zh-TW"/>
        </w:rPr>
        <w:t>至少结合三个案例进行阐述说明。</w:t>
      </w:r>
      <w:r>
        <w:rPr>
          <w:rFonts w:ascii="宋体" w:hAnsi="宋体" w:cs="宋体"/>
          <w:sz w:val="24"/>
          <w:szCs w:val="24"/>
        </w:rPr>
        <w:t>)</w:t>
      </w:r>
      <w:r>
        <w:rPr>
          <w:rFonts w:ascii="宋体" w:hAnsi="宋体" w:cs="宋体"/>
          <w:sz w:val="24"/>
          <w:szCs w:val="24"/>
          <w:lang w:val="zh-TW" w:eastAsia="zh-TW"/>
        </w:rPr>
        <w:t>（3</w:t>
      </w:r>
      <w:r>
        <w:rPr>
          <w:rFonts w:ascii="宋体" w:hAnsi="宋体" w:cs="宋体"/>
          <w:sz w:val="24"/>
          <w:szCs w:val="24"/>
        </w:rPr>
        <w:t>0</w:t>
      </w:r>
      <w:r>
        <w:rPr>
          <w:rFonts w:ascii="宋体" w:hAnsi="宋体" w:cs="宋体"/>
          <w:sz w:val="24"/>
          <w:szCs w:val="24"/>
          <w:lang w:val="zh-TW" w:eastAsia="zh-TW"/>
        </w:rPr>
        <w:t>分）</w:t>
      </w:r>
    </w:p>
    <w:p>
      <w:pPr>
        <w:pStyle w:val="10"/>
        <w:rPr>
          <w:rFonts w:hint="eastAsia" w:eastAsia="PMingLiU"/>
        </w:rPr>
      </w:pPr>
    </w:p>
    <w:p>
      <w:pPr>
        <w:pStyle w:val="10"/>
        <w:rPr>
          <w:rFonts w:ascii="宋体" w:hAnsi="宋体" w:cs="宋体"/>
          <w:b/>
          <w:bCs/>
          <w:u w:val="none" w:color="0000FF"/>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wBefore w:w="0" w:type="dxa"/>
          <w:trHeight w:val="199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宋体"/>
                <w:u w:val="none" w:color="0000FF"/>
                <w:lang w:eastAsia="zh-CN"/>
              </w:rPr>
            </w:pPr>
            <w:r>
              <w:rPr>
                <w:rFonts w:ascii="宋体" w:hAnsi="宋体" w:cs="宋体"/>
                <w:u w:val="none" w:color="0000FF"/>
                <w:lang w:val="zh-TW" w:eastAsia="zh-TW"/>
              </w:rPr>
              <w:t>案例</w:t>
            </w:r>
            <w:r>
              <w:rPr>
                <w:rFonts w:ascii="宋体" w:hAnsi="宋体" w:cs="宋体"/>
                <w:u w:val="none" w:color="0000FF"/>
                <w:lang w:eastAsia="zh-CN"/>
              </w:rPr>
              <w:t>1</w:t>
            </w:r>
            <w:r>
              <w:rPr>
                <w:rFonts w:ascii="宋体" w:hAnsi="宋体" w:cs="宋体"/>
                <w:u w:val="none" w:color="0000FF"/>
                <w:lang w:val="zh-TW" w:eastAsia="zh-TW"/>
              </w:rPr>
              <w:t>：</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1</w:t>
            </w:r>
            <w:r>
              <w:rPr>
                <w:rFonts w:ascii="宋体" w:hAnsi="宋体" w:cs="宋体"/>
                <w:u w:val="none" w:color="0000FF"/>
                <w:lang w:val="zh-TW" w:eastAsia="zh-TW"/>
              </w:rPr>
              <w:t>）案例出处（如网址）：</w:t>
            </w:r>
          </w:p>
          <w:p>
            <w:pPr>
              <w:pStyle w:val="10"/>
              <w:ind w:leftChars="200"/>
              <w:rPr>
                <w:rFonts w:hint="eastAsia" w:ascii="宋体" w:hAnsi="宋体" w:cs="宋体"/>
                <w:lang w:eastAsia="zh-CN"/>
              </w:rPr>
            </w:pPr>
            <w:r>
              <w:rPr>
                <w:rFonts w:hint="eastAsia" w:ascii="宋体" w:hAnsi="宋体" w:cs="宋体"/>
                <w:lang w:eastAsia="zh-CN"/>
              </w:rPr>
              <w:fldChar w:fldCharType="begin"/>
            </w:r>
            <w:r>
              <w:rPr>
                <w:rFonts w:hint="eastAsia" w:ascii="宋体" w:hAnsi="宋体" w:cs="宋体"/>
                <w:lang w:eastAsia="zh-CN"/>
              </w:rPr>
              <w:instrText xml:space="preserve"> HYPERLINK "http://news.hexun.com/2022-03-15/205492252.html" </w:instrText>
            </w:r>
            <w:r>
              <w:rPr>
                <w:rFonts w:hint="eastAsia" w:ascii="宋体" w:hAnsi="宋体" w:cs="宋体"/>
                <w:lang w:eastAsia="zh-CN"/>
              </w:rPr>
              <w:fldChar w:fldCharType="separate"/>
            </w:r>
            <w:r>
              <w:rPr>
                <w:rStyle w:val="9"/>
                <w:rFonts w:hint="eastAsia" w:ascii="宋体" w:hAnsi="宋体" w:cs="宋体"/>
                <w:lang w:eastAsia="zh-CN"/>
              </w:rPr>
              <w:t>http://news.hexun.com/2022-03-15/205492252.html</w:t>
            </w:r>
            <w:r>
              <w:rPr>
                <w:rFonts w:hint="eastAsia" w:ascii="宋体" w:hAnsi="宋体" w:cs="宋体"/>
                <w:lang w:eastAsia="zh-CN"/>
              </w:rPr>
              <w:fldChar w:fldCharType="end"/>
            </w:r>
          </w:p>
          <w:p>
            <w:pPr>
              <w:pStyle w:val="10"/>
              <w:ind w:leftChars="200"/>
              <w:rPr>
                <w:rFonts w:hint="default" w:ascii="宋体" w:hAnsi="宋体" w:cs="宋体"/>
                <w:lang w:val="en-US" w:eastAsia="zh-CN"/>
              </w:rPr>
            </w:pPr>
            <w:r>
              <w:rPr>
                <w:rFonts w:hint="eastAsia" w:ascii="宋体" w:hAnsi="宋体" w:cs="宋体"/>
                <w:lang w:val="en-US" w:eastAsia="zh-CN"/>
              </w:rPr>
              <w:t>（案例选自该网站中“房地产公司违规收集消费者个人信息案”）</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2</w:t>
            </w:r>
            <w:r>
              <w:rPr>
                <w:rFonts w:ascii="宋体" w:hAnsi="宋体" w:cs="宋体"/>
                <w:u w:val="none" w:color="0000FF"/>
                <w:lang w:val="zh-TW" w:eastAsia="zh-TW"/>
              </w:rPr>
              <w:t>）案例简述（</w:t>
            </w:r>
            <w:r>
              <w:rPr>
                <w:rFonts w:ascii="宋体" w:hAnsi="宋体" w:cs="宋体"/>
                <w:u w:val="none" w:color="0000FF"/>
                <w:lang w:eastAsia="zh-CN"/>
              </w:rPr>
              <w:t>100-200</w:t>
            </w:r>
            <w:r>
              <w:rPr>
                <w:rFonts w:ascii="宋体" w:hAnsi="宋体" w:cs="宋体"/>
                <w:u w:val="none" w:color="0000FF"/>
                <w:lang w:val="zh-TW" w:eastAsia="zh-TW"/>
              </w:rPr>
              <w:t>字）：</w:t>
            </w:r>
          </w:p>
          <w:p>
            <w:pPr>
              <w:pStyle w:val="10"/>
              <w:ind w:leftChars="200" w:firstLine="420" w:firstLineChars="200"/>
              <w:rPr>
                <w:rFonts w:hint="default" w:ascii="宋体" w:hAnsi="宋体" w:cs="宋体"/>
                <w:lang w:val="en-US" w:eastAsia="zh-CN"/>
              </w:rPr>
            </w:pPr>
            <w:r>
              <w:rPr>
                <w:rFonts w:hint="eastAsia" w:ascii="宋体" w:hAnsi="宋体" w:cs="宋体"/>
                <w:lang w:val="en-US" w:eastAsia="zh-CN"/>
              </w:rPr>
              <w:t>2021年监管局接到举报称安徽某房地厂公司未经举报人同意，私自采集举报人人脸信息。在现场进行检查时，发现该公司营销中心内部装有摄像头，并在其办公电脑中发现存有大量人脸、客户姓名等信息的应用程序。该房地产公司此行为因违反《消费者权益保护法》承担相应法律责任。</w:t>
            </w:r>
          </w:p>
          <w:p>
            <w:pPr>
              <w:pStyle w:val="10"/>
              <w:rPr>
                <w:rFonts w:ascii="宋体" w:hAnsi="宋体" w:cs="宋体"/>
                <w:u w:val="none" w:color="0000FF"/>
                <w:lang w:val="zh-TW" w:eastAsia="zh-TW"/>
              </w:rPr>
            </w:pPr>
            <w:r>
              <w:rPr>
                <w:rFonts w:ascii="宋体" w:hAnsi="宋体" w:cs="宋体"/>
                <w:u w:val="none" w:color="0000FF"/>
                <w:lang w:val="zh-TW" w:eastAsia="zh-TW"/>
              </w:rPr>
              <w:t>（</w:t>
            </w:r>
            <w:r>
              <w:rPr>
                <w:rFonts w:ascii="宋体" w:hAnsi="宋体" w:cs="宋体"/>
                <w:u w:val="none" w:color="0000FF"/>
                <w:lang w:eastAsia="zh-CN"/>
              </w:rPr>
              <w:t>3</w:t>
            </w:r>
            <w:r>
              <w:rPr>
                <w:rFonts w:ascii="宋体" w:hAnsi="宋体" w:cs="宋体"/>
                <w:u w:val="none" w:color="0000FF"/>
                <w:lang w:val="zh-TW" w:eastAsia="zh-TW"/>
              </w:rPr>
              <w:t>）案例简析（</w:t>
            </w:r>
            <w:r>
              <w:rPr>
                <w:rFonts w:ascii="宋体" w:hAnsi="宋体" w:cs="宋体"/>
                <w:u w:val="none" w:color="0000FF"/>
                <w:lang w:eastAsia="zh-CN"/>
              </w:rPr>
              <w:t>100-200</w:t>
            </w:r>
            <w:r>
              <w:rPr>
                <w:rFonts w:ascii="宋体" w:hAnsi="宋体" w:cs="宋体"/>
                <w:u w:val="none" w:color="0000FF"/>
                <w:lang w:val="zh-TW" w:eastAsia="zh-TW"/>
              </w:rPr>
              <w:t>字）：</w:t>
            </w:r>
          </w:p>
          <w:p>
            <w:pPr>
              <w:pStyle w:val="10"/>
              <w:ind w:leftChars="200" w:firstLine="420" w:firstLineChars="200"/>
              <w:rPr>
                <w:rFonts w:hint="default" w:ascii="宋体" w:hAnsi="宋体" w:cs="宋体"/>
                <w:u w:val="none" w:color="0000FF"/>
                <w:lang w:val="en-US" w:eastAsia="zh-CN"/>
              </w:rPr>
            </w:pPr>
            <w:r>
              <w:rPr>
                <w:rFonts w:hint="eastAsia" w:ascii="宋体" w:hAnsi="宋体" w:cs="宋体"/>
                <w:u w:val="none" w:color="0000FF"/>
                <w:lang w:val="en-US" w:eastAsia="zh-CN"/>
              </w:rPr>
              <w:t>现在许多场所会采用扫码入场、扫脸入场等操作实现对进出人员的登记，人们也逐渐习惯了这样的代替输入个人相关身份信息的登记方法。而该公司对于消费者人脸信息的非法采集，无疑是对这种实名方式的安全性和权威性的挑战。人脸核验因其唯一性成为识别个人信息的主要方式，当信息被非法采集时，其唯一性反而会使我们个人生命财产安全遭到损害。</w:t>
            </w:r>
          </w:p>
          <w:p>
            <w:pPr>
              <w:pStyle w:val="10"/>
              <w:numPr>
                <w:ilvl w:val="0"/>
                <w:numId w:val="0"/>
              </w:numPr>
              <w:ind w:leftChars="0"/>
              <w:rPr>
                <w:rFonts w:hint="default" w:ascii="宋体" w:hAnsi="宋体" w:cs="宋体"/>
                <w:u w:val="none" w:color="0000FF"/>
                <w:lang w:val="en-US" w:eastAsia="zh-CN"/>
              </w:rPr>
            </w:pPr>
            <w:r>
              <w:rPr>
                <w:rFonts w:hint="eastAsia" w:ascii="宋体" w:hAnsi="宋体" w:cs="宋体"/>
                <w:u w:val="none" w:color="0000FF"/>
                <w:lang w:val="en-US" w:eastAsia="zh-CN"/>
              </w:rPr>
              <w:t>（4）改善意见：</w:t>
            </w:r>
          </w:p>
          <w:p>
            <w:pPr>
              <w:pStyle w:val="10"/>
              <w:numPr>
                <w:ilvl w:val="0"/>
                <w:numId w:val="0"/>
              </w:numPr>
              <w:ind w:leftChars="200" w:firstLine="420" w:firstLineChars="200"/>
              <w:rPr>
                <w:rFonts w:hint="default" w:ascii="宋体" w:hAnsi="宋体" w:cs="宋体"/>
                <w:u w:val="none" w:color="0000FF"/>
                <w:lang w:val="en-US" w:eastAsia="zh-CN"/>
              </w:rPr>
            </w:pPr>
            <w:r>
              <w:rPr>
                <w:rFonts w:hint="eastAsia" w:ascii="宋体" w:hAnsi="宋体" w:cs="宋体"/>
                <w:u w:val="none" w:color="0000FF"/>
                <w:lang w:val="en-US" w:eastAsia="zh-CN"/>
              </w:rPr>
              <w:t>《个人信息保护法》在第十条中明确提出，任何组织或个人都不能对个人信息非法采用、加工等。而我认为除了通过相关法律对企业行为进行规范，也应实际加强监管制度，如当地企业、公司等存在对个人信息采集行为的，采集过程需接受当地相关部门的监督。以外力监管、约束企业违规行为的出现。</w:t>
            </w:r>
          </w:p>
        </w:tc>
      </w:tr>
    </w:tbl>
    <w:p>
      <w:pPr>
        <w:pStyle w:val="10"/>
        <w:rPr>
          <w:rFonts w:ascii="宋体" w:hAnsi="宋体" w:cs="宋体"/>
          <w:b/>
          <w:bCs/>
          <w:u w:val="none" w:color="0000FF"/>
          <w:lang w:eastAsia="zh-CN"/>
        </w:rPr>
      </w:pPr>
    </w:p>
    <w:p>
      <w:pPr>
        <w:pStyle w:val="10"/>
        <w:rPr>
          <w:rFonts w:ascii="宋体" w:hAnsi="宋体" w:cs="宋体"/>
          <w:b/>
          <w:bCs/>
          <w:u w:val="none" w:color="0000FF"/>
          <w:lang w:eastAsia="zh-CN"/>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199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宋体"/>
                <w:u w:val="none" w:color="0000FF"/>
                <w:lang w:eastAsia="zh-CN"/>
              </w:rPr>
            </w:pPr>
            <w:r>
              <w:rPr>
                <w:rFonts w:ascii="宋体" w:hAnsi="宋体" w:cs="宋体"/>
                <w:u w:val="none" w:color="0000FF"/>
                <w:lang w:val="zh-TW" w:eastAsia="zh-TW"/>
              </w:rPr>
              <w:t>案例</w:t>
            </w:r>
            <w:r>
              <w:rPr>
                <w:rFonts w:ascii="宋体" w:hAnsi="宋体" w:cs="宋体"/>
                <w:u w:val="none" w:color="0000FF"/>
                <w:lang w:eastAsia="zh-CN"/>
              </w:rPr>
              <w:t>2</w:t>
            </w:r>
            <w:r>
              <w:rPr>
                <w:rFonts w:ascii="宋体" w:hAnsi="宋体" w:cs="宋体"/>
                <w:u w:val="none" w:color="0000FF"/>
                <w:lang w:val="zh-TW" w:eastAsia="zh-TW"/>
              </w:rPr>
              <w:t>：</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1</w:t>
            </w:r>
            <w:r>
              <w:rPr>
                <w:rFonts w:ascii="宋体" w:hAnsi="宋体" w:cs="宋体"/>
                <w:u w:val="none" w:color="0000FF"/>
                <w:lang w:val="zh-TW" w:eastAsia="zh-TW"/>
              </w:rPr>
              <w:t>）案例出处（如网址）：</w:t>
            </w:r>
            <w:r>
              <w:rPr>
                <w:rFonts w:ascii="宋体" w:hAnsi="宋体" w:cs="宋体"/>
                <w:lang w:eastAsia="zh-CN"/>
              </w:rPr>
              <w:t>×××</w:t>
            </w:r>
          </w:p>
          <w:p>
            <w:pPr>
              <w:pStyle w:val="10"/>
              <w:ind w:leftChars="200"/>
              <w:rPr>
                <w:rFonts w:hint="default" w:ascii="宋体" w:hAnsi="宋体" w:cs="宋体"/>
                <w:lang w:val="en-US" w:eastAsia="zh-CN"/>
              </w:rPr>
            </w:pPr>
            <w:r>
              <w:rPr>
                <w:rFonts w:hint="eastAsia" w:ascii="宋体" w:hAnsi="宋体" w:cs="宋体"/>
                <w:lang w:eastAsia="zh-CN"/>
              </w:rPr>
              <w:fldChar w:fldCharType="begin"/>
            </w:r>
            <w:r>
              <w:rPr>
                <w:rFonts w:hint="eastAsia" w:ascii="宋体" w:hAnsi="宋体" w:cs="宋体"/>
                <w:lang w:eastAsia="zh-CN"/>
              </w:rPr>
              <w:instrText xml:space="preserve"> HYPERLINK "https://cbgc.scol.com.cn/news/2775224" </w:instrText>
            </w:r>
            <w:r>
              <w:rPr>
                <w:rFonts w:hint="eastAsia" w:ascii="宋体" w:hAnsi="宋体" w:cs="宋体"/>
                <w:lang w:eastAsia="zh-CN"/>
              </w:rPr>
              <w:fldChar w:fldCharType="separate"/>
            </w:r>
            <w:r>
              <w:rPr>
                <w:rStyle w:val="9"/>
                <w:rFonts w:hint="eastAsia" w:ascii="宋体" w:hAnsi="宋体" w:cs="宋体"/>
                <w:lang w:eastAsia="zh-CN"/>
              </w:rPr>
              <w:t>https://cbgc.scol.com.cn/news/2775224</w:t>
            </w:r>
            <w:r>
              <w:rPr>
                <w:rFonts w:hint="eastAsia" w:ascii="宋体" w:hAnsi="宋体" w:cs="宋体"/>
                <w:lang w:eastAsia="zh-CN"/>
              </w:rPr>
              <w:fldChar w:fldCharType="end"/>
            </w:r>
            <w:r>
              <w:rPr>
                <w:rFonts w:hint="eastAsia" w:ascii="宋体" w:hAnsi="宋体" w:cs="宋体"/>
                <w:lang w:val="en-US" w:eastAsia="zh-CN"/>
              </w:rPr>
              <w:t xml:space="preserve"> </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2</w:t>
            </w:r>
            <w:r>
              <w:rPr>
                <w:rFonts w:ascii="宋体" w:hAnsi="宋体" w:cs="宋体"/>
                <w:u w:val="none" w:color="0000FF"/>
                <w:lang w:val="zh-TW" w:eastAsia="zh-TW"/>
              </w:rPr>
              <w:t>）案例简述（</w:t>
            </w:r>
            <w:r>
              <w:rPr>
                <w:rFonts w:ascii="宋体" w:hAnsi="宋体" w:cs="宋体"/>
                <w:u w:val="none" w:color="0000FF"/>
                <w:lang w:eastAsia="zh-CN"/>
              </w:rPr>
              <w:t>100-200</w:t>
            </w:r>
            <w:r>
              <w:rPr>
                <w:rFonts w:ascii="宋体" w:hAnsi="宋体" w:cs="宋体"/>
                <w:u w:val="none" w:color="0000FF"/>
                <w:lang w:val="zh-TW" w:eastAsia="zh-TW"/>
              </w:rPr>
              <w:t>字）：</w:t>
            </w:r>
            <w:r>
              <w:rPr>
                <w:rFonts w:ascii="宋体" w:hAnsi="宋体" w:cs="宋体"/>
                <w:lang w:eastAsia="zh-CN"/>
              </w:rPr>
              <w:t>×××</w:t>
            </w:r>
          </w:p>
          <w:p>
            <w:pPr>
              <w:pStyle w:val="10"/>
              <w:ind w:leftChars="200" w:firstLine="420" w:firstLineChars="200"/>
              <w:rPr>
                <w:rFonts w:hint="default" w:ascii="宋体" w:hAnsi="宋体" w:cs="宋体"/>
                <w:lang w:val="en-US" w:eastAsia="zh-CN"/>
              </w:rPr>
            </w:pPr>
            <w:r>
              <w:rPr>
                <w:rFonts w:hint="eastAsia" w:ascii="宋体" w:hAnsi="宋体" w:cs="宋体"/>
                <w:lang w:val="en-US" w:eastAsia="zh-CN"/>
              </w:rPr>
              <w:t>某冰箱生产企业被指在未经消费者同意的情况下，擅自将张某的电子邮箱账号截图提供给网购平台用于诉讼举证。企业出于送达冰箱的电子延保卡的目的使用张某的电子邮箱账号，具备正当性和必要性，但其不是法律授权的可以采集使用个人信息的主体，不具备合法性。最终该冰箱生产企业被判以在官网上向张某作出书面赔礼道歉。</w:t>
            </w:r>
          </w:p>
          <w:p>
            <w:pPr>
              <w:pStyle w:val="10"/>
              <w:numPr>
                <w:ilvl w:val="0"/>
                <w:numId w:val="0"/>
              </w:numPr>
              <w:ind w:leftChars="0"/>
              <w:rPr>
                <w:rFonts w:ascii="宋体" w:hAnsi="宋体" w:cs="宋体"/>
                <w:u w:val="none" w:color="0000FF"/>
                <w:lang w:val="zh-TW" w:eastAsia="zh-TW"/>
              </w:rPr>
            </w:pPr>
            <w:r>
              <w:rPr>
                <w:rFonts w:hint="eastAsia" w:ascii="宋体" w:hAnsi="宋体" w:cs="宋体"/>
                <w:u w:val="none" w:color="0000FF"/>
                <w:lang w:val="zh-TW" w:eastAsia="zh-CN"/>
              </w:rPr>
              <w:t>（</w:t>
            </w:r>
            <w:r>
              <w:rPr>
                <w:rFonts w:hint="eastAsia" w:ascii="宋体" w:hAnsi="宋体" w:cs="宋体"/>
                <w:u w:val="none" w:color="0000FF"/>
                <w:lang w:val="en-US" w:eastAsia="zh-CN"/>
              </w:rPr>
              <w:t>3）</w:t>
            </w:r>
            <w:r>
              <w:rPr>
                <w:rFonts w:ascii="宋体" w:hAnsi="宋体" w:cs="宋体"/>
                <w:u w:val="none" w:color="0000FF"/>
                <w:lang w:val="zh-TW" w:eastAsia="zh-TW"/>
              </w:rPr>
              <w:t>案例简析（</w:t>
            </w:r>
            <w:r>
              <w:rPr>
                <w:rFonts w:ascii="宋体" w:hAnsi="宋体" w:cs="宋体"/>
                <w:u w:val="none" w:color="0000FF"/>
                <w:lang w:eastAsia="zh-CN"/>
              </w:rPr>
              <w:t>100-200</w:t>
            </w:r>
            <w:r>
              <w:rPr>
                <w:rFonts w:ascii="宋体" w:hAnsi="宋体" w:cs="宋体"/>
                <w:u w:val="none" w:color="0000FF"/>
                <w:lang w:val="zh-TW" w:eastAsia="zh-TW"/>
              </w:rPr>
              <w:t>字）：</w:t>
            </w:r>
          </w:p>
          <w:p>
            <w:pPr>
              <w:pStyle w:val="10"/>
              <w:numPr>
                <w:ilvl w:val="0"/>
                <w:numId w:val="0"/>
              </w:numPr>
              <w:ind w:leftChars="200" w:firstLine="420" w:firstLineChars="200"/>
              <w:rPr>
                <w:rFonts w:hint="eastAsia" w:ascii="宋体" w:hAnsi="宋体" w:cs="宋体"/>
                <w:u w:val="none" w:color="0000FF"/>
                <w:lang w:val="en-US" w:eastAsia="zh-CN"/>
              </w:rPr>
            </w:pPr>
            <w:r>
              <w:rPr>
                <w:rFonts w:hint="eastAsia" w:ascii="宋体" w:hAnsi="宋体" w:cs="宋体"/>
                <w:u w:val="none" w:color="0000FF"/>
                <w:lang w:val="en-US" w:eastAsia="zh-CN"/>
              </w:rPr>
              <w:t>该案例具备一定的争议。企业对张某个人信息的使用具备正当性和必要性，且电子邮箱不属于张某个人信息中的私密信息，但企业在该使用张某个人信息时，确实未经张某的同意。在信息化时代，我们经常使用个人信息，外卖上的电话、地址，网购平台上的账单信息、支付凭证等等，通过此案例我们也可以看到，商家在使用这些信息时，很有可能就在无意识中触犯了消费者的权益。</w:t>
            </w:r>
          </w:p>
          <w:p>
            <w:pPr>
              <w:pStyle w:val="10"/>
              <w:numPr>
                <w:ilvl w:val="0"/>
                <w:numId w:val="0"/>
              </w:numPr>
              <w:ind w:leftChars="0"/>
              <w:rPr>
                <w:rFonts w:hint="eastAsia" w:ascii="宋体" w:hAnsi="宋体" w:cs="宋体"/>
                <w:u w:val="none" w:color="0000FF"/>
                <w:lang w:val="en-US" w:eastAsia="zh-CN"/>
              </w:rPr>
            </w:pPr>
            <w:r>
              <w:rPr>
                <w:rFonts w:hint="eastAsia" w:ascii="宋体" w:hAnsi="宋体" w:cs="宋体"/>
                <w:u w:val="none" w:color="0000FF"/>
                <w:lang w:val="en-US" w:eastAsia="zh-CN"/>
              </w:rPr>
              <w:t>（4）改善建议：</w:t>
            </w:r>
          </w:p>
          <w:p>
            <w:pPr>
              <w:pStyle w:val="10"/>
              <w:numPr>
                <w:ilvl w:val="0"/>
                <w:numId w:val="0"/>
              </w:numPr>
              <w:ind w:leftChars="200" w:firstLine="420" w:firstLineChars="200"/>
              <w:rPr>
                <w:rFonts w:hint="default" w:ascii="宋体" w:hAnsi="宋体" w:cs="宋体"/>
                <w:u w:val="none" w:color="0000FF"/>
                <w:lang w:val="en-US" w:eastAsia="zh-CN"/>
              </w:rPr>
            </w:pPr>
            <w:r>
              <w:rPr>
                <w:rFonts w:hint="eastAsia" w:ascii="宋体" w:hAnsi="宋体" w:cs="宋体"/>
                <w:u w:val="none" w:color="0000FF"/>
                <w:lang w:val="en-US" w:eastAsia="zh-CN"/>
              </w:rPr>
              <w:t>鼓励消费者维护个人权益的同时，也应加强全民法律教育。对相关领域的职业人员能够提供相应领域的法律知识普及。另外，也应加强各大交易平台对个人信息采集时的授权途径，企业采用个人信息之前，对于《个人信息保护法》中提出的非匿名化信息，必须获得信息主体的明确同意。</w:t>
            </w:r>
          </w:p>
        </w:tc>
      </w:tr>
    </w:tbl>
    <w:p>
      <w:pPr>
        <w:pStyle w:val="10"/>
        <w:rPr>
          <w:rFonts w:ascii="宋体" w:hAnsi="宋体" w:cs="宋体"/>
          <w:b/>
          <w:bCs/>
          <w:u w:val="none" w:color="0000FF"/>
          <w:lang w:eastAsia="zh-CN"/>
        </w:rPr>
      </w:pPr>
    </w:p>
    <w:p>
      <w:pPr>
        <w:pStyle w:val="10"/>
        <w:rPr>
          <w:rFonts w:ascii="宋体" w:hAnsi="宋体" w:cs="宋体"/>
          <w:b/>
          <w:bCs/>
          <w:u w:val="none" w:color="0000FF"/>
          <w:lang w:eastAsia="zh-CN"/>
        </w:rPr>
      </w:pPr>
    </w:p>
    <w:tbl>
      <w:tblPr>
        <w:tblStyle w:val="5"/>
        <w:tblW w:w="928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92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wBefore w:w="0" w:type="dxa"/>
          <w:trHeight w:val="1990" w:hRule="atLeast"/>
        </w:trPr>
        <w:tc>
          <w:tcPr>
            <w:tcW w:w="928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Style w:val="10"/>
              <w:rPr>
                <w:rFonts w:ascii="宋体" w:hAnsi="宋体" w:cs="宋体"/>
                <w:u w:val="none" w:color="0000FF"/>
                <w:lang w:eastAsia="zh-CN"/>
              </w:rPr>
            </w:pPr>
            <w:r>
              <w:rPr>
                <w:rFonts w:ascii="宋体" w:hAnsi="宋体" w:cs="宋体"/>
                <w:u w:val="none" w:color="0000FF"/>
                <w:lang w:val="zh-TW" w:eastAsia="zh-TW"/>
              </w:rPr>
              <w:t>案例</w:t>
            </w:r>
            <w:r>
              <w:rPr>
                <w:rFonts w:ascii="宋体" w:hAnsi="宋体" w:cs="宋体"/>
                <w:u w:val="none" w:color="0000FF"/>
                <w:lang w:eastAsia="zh-CN"/>
              </w:rPr>
              <w:t>3</w:t>
            </w:r>
            <w:r>
              <w:rPr>
                <w:rFonts w:ascii="宋体" w:hAnsi="宋体" w:cs="宋体"/>
                <w:u w:val="none" w:color="0000FF"/>
                <w:lang w:val="zh-TW" w:eastAsia="zh-TW"/>
              </w:rPr>
              <w:t>：</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1</w:t>
            </w:r>
            <w:r>
              <w:rPr>
                <w:rFonts w:ascii="宋体" w:hAnsi="宋体" w:cs="宋体"/>
                <w:u w:val="none" w:color="0000FF"/>
                <w:lang w:val="zh-TW" w:eastAsia="zh-TW"/>
              </w:rPr>
              <w:t>）案例出处（如网址）：</w:t>
            </w:r>
          </w:p>
          <w:p>
            <w:pPr>
              <w:pStyle w:val="10"/>
              <w:ind w:leftChars="200"/>
              <w:rPr>
                <w:rFonts w:hint="default" w:ascii="宋体" w:hAnsi="宋体" w:cs="宋体"/>
                <w:lang w:val="en-US" w:eastAsia="zh-CN"/>
              </w:rPr>
            </w:pPr>
            <w:r>
              <w:rPr>
                <w:rFonts w:hint="eastAsia" w:ascii="宋体" w:hAnsi="宋体" w:cs="宋体"/>
                <w:lang w:eastAsia="zh-CN"/>
              </w:rPr>
              <w:fldChar w:fldCharType="begin"/>
            </w:r>
            <w:r>
              <w:rPr>
                <w:rFonts w:hint="eastAsia" w:ascii="宋体" w:hAnsi="宋体" w:cs="宋体"/>
                <w:lang w:eastAsia="zh-CN"/>
              </w:rPr>
              <w:instrText xml:space="preserve"> HYPERLINK "https://baijiahao.baidu.com/s?id=1721566130710124623&amp;wfr=spider&amp;for=pc" </w:instrText>
            </w:r>
            <w:r>
              <w:rPr>
                <w:rFonts w:hint="eastAsia" w:ascii="宋体" w:hAnsi="宋体" w:cs="宋体"/>
                <w:lang w:eastAsia="zh-CN"/>
              </w:rPr>
              <w:fldChar w:fldCharType="separate"/>
            </w:r>
            <w:r>
              <w:rPr>
                <w:rStyle w:val="9"/>
                <w:rFonts w:hint="eastAsia" w:ascii="宋体" w:hAnsi="宋体" w:cs="宋体"/>
                <w:lang w:eastAsia="zh-CN"/>
              </w:rPr>
              <w:t>https://baijiahao.baidu.com/s?id=1721566130710124623&amp;wfr=spider&amp;for=pc</w:t>
            </w:r>
            <w:r>
              <w:rPr>
                <w:rFonts w:hint="eastAsia" w:ascii="宋体" w:hAnsi="宋体" w:cs="宋体"/>
                <w:lang w:eastAsia="zh-CN"/>
              </w:rPr>
              <w:fldChar w:fldCharType="end"/>
            </w:r>
            <w:r>
              <w:rPr>
                <w:rFonts w:hint="eastAsia" w:ascii="宋体" w:hAnsi="宋体" w:cs="宋体"/>
                <w:lang w:val="en-US" w:eastAsia="zh-CN"/>
              </w:rPr>
              <w:t xml:space="preserve"> </w:t>
            </w:r>
          </w:p>
          <w:p>
            <w:pPr>
              <w:pStyle w:val="10"/>
              <w:rPr>
                <w:rFonts w:ascii="宋体" w:hAnsi="宋体" w:cs="宋体"/>
                <w:lang w:eastAsia="zh-CN"/>
              </w:rPr>
            </w:pPr>
            <w:r>
              <w:rPr>
                <w:rFonts w:ascii="宋体" w:hAnsi="宋体" w:cs="宋体"/>
                <w:u w:val="none" w:color="0000FF"/>
                <w:lang w:val="zh-TW" w:eastAsia="zh-TW"/>
              </w:rPr>
              <w:t>（</w:t>
            </w:r>
            <w:r>
              <w:rPr>
                <w:rFonts w:ascii="宋体" w:hAnsi="宋体" w:cs="宋体"/>
                <w:u w:val="none" w:color="0000FF"/>
                <w:lang w:eastAsia="zh-CN"/>
              </w:rPr>
              <w:t>2</w:t>
            </w:r>
            <w:r>
              <w:rPr>
                <w:rFonts w:ascii="宋体" w:hAnsi="宋体" w:cs="宋体"/>
                <w:u w:val="none" w:color="0000FF"/>
                <w:lang w:val="zh-TW" w:eastAsia="zh-TW"/>
              </w:rPr>
              <w:t>）案例简述（</w:t>
            </w:r>
            <w:r>
              <w:rPr>
                <w:rFonts w:ascii="宋体" w:hAnsi="宋体" w:cs="宋体"/>
                <w:u w:val="none" w:color="0000FF"/>
                <w:lang w:eastAsia="zh-CN"/>
              </w:rPr>
              <w:t>100-200</w:t>
            </w:r>
            <w:r>
              <w:rPr>
                <w:rFonts w:ascii="宋体" w:hAnsi="宋体" w:cs="宋体"/>
                <w:u w:val="none" w:color="0000FF"/>
                <w:lang w:val="zh-TW" w:eastAsia="zh-TW"/>
              </w:rPr>
              <w:t>字）：</w:t>
            </w:r>
          </w:p>
          <w:p>
            <w:pPr>
              <w:pStyle w:val="10"/>
              <w:ind w:leftChars="200" w:firstLine="420" w:firstLineChars="200"/>
              <w:rPr>
                <w:rFonts w:hint="default" w:ascii="宋体" w:hAnsi="宋体" w:cs="宋体"/>
                <w:lang w:val="en-US" w:eastAsia="zh-CN"/>
              </w:rPr>
            </w:pPr>
            <w:r>
              <w:rPr>
                <w:rFonts w:hint="eastAsia" w:ascii="宋体" w:hAnsi="宋体" w:cs="宋体"/>
                <w:lang w:val="en-US" w:eastAsia="zh-CN"/>
              </w:rPr>
              <w:t>辽宁公安网安部门查明，山东某网络科技公司在辽宁某团伙的技术支持下，从网上非法购买大量公民信息，突破各种游戏公司的用户信息验证机制，非法注册实名网络游戏账号1.8万多个，向未成年人出售，并从中非法牟利170余万元。</w:t>
            </w:r>
          </w:p>
          <w:p>
            <w:pPr>
              <w:pStyle w:val="10"/>
              <w:numPr>
                <w:ilvl w:val="0"/>
                <w:numId w:val="0"/>
              </w:numPr>
              <w:ind w:leftChars="0"/>
              <w:rPr>
                <w:rFonts w:ascii="宋体" w:hAnsi="宋体" w:cs="宋体"/>
                <w:u w:val="none" w:color="0000FF"/>
                <w:lang w:val="zh-TW" w:eastAsia="zh-TW"/>
              </w:rPr>
            </w:pPr>
            <w:r>
              <w:rPr>
                <w:rFonts w:hint="eastAsia" w:ascii="宋体" w:hAnsi="宋体" w:cs="宋体"/>
                <w:u w:val="none" w:color="0000FF"/>
                <w:lang w:val="zh-TW" w:eastAsia="zh-CN"/>
              </w:rPr>
              <w:t>（</w:t>
            </w:r>
            <w:r>
              <w:rPr>
                <w:rFonts w:hint="eastAsia" w:ascii="宋体" w:hAnsi="宋体" w:cs="宋体"/>
                <w:u w:val="none" w:color="0000FF"/>
                <w:lang w:val="en-US" w:eastAsia="zh-CN"/>
              </w:rPr>
              <w:t>3）</w:t>
            </w:r>
            <w:r>
              <w:rPr>
                <w:rFonts w:ascii="宋体" w:hAnsi="宋体" w:cs="宋体"/>
                <w:u w:val="none" w:color="0000FF"/>
                <w:lang w:val="zh-TW" w:eastAsia="zh-TW"/>
              </w:rPr>
              <w:t>案例简析（</w:t>
            </w:r>
            <w:r>
              <w:rPr>
                <w:rFonts w:ascii="宋体" w:hAnsi="宋体" w:cs="宋体"/>
                <w:u w:val="none" w:color="0000FF"/>
                <w:lang w:eastAsia="zh-CN"/>
              </w:rPr>
              <w:t>100-200</w:t>
            </w:r>
            <w:r>
              <w:rPr>
                <w:rFonts w:ascii="宋体" w:hAnsi="宋体" w:cs="宋体"/>
                <w:u w:val="none" w:color="0000FF"/>
                <w:lang w:val="zh-TW" w:eastAsia="zh-TW"/>
              </w:rPr>
              <w:t>字）：</w:t>
            </w:r>
          </w:p>
          <w:p>
            <w:pPr>
              <w:pStyle w:val="10"/>
              <w:numPr>
                <w:ilvl w:val="0"/>
                <w:numId w:val="0"/>
              </w:numPr>
              <w:ind w:leftChars="200" w:firstLine="420" w:firstLineChars="200"/>
              <w:rPr>
                <w:rFonts w:hint="eastAsia" w:ascii="宋体" w:hAnsi="宋体" w:cs="宋体"/>
                <w:u w:val="none" w:color="0000FF"/>
                <w:lang w:val="en-US" w:eastAsia="zh-CN"/>
              </w:rPr>
            </w:pPr>
            <w:r>
              <w:rPr>
                <w:rFonts w:hint="eastAsia" w:ascii="宋体" w:hAnsi="宋体" w:cs="宋体"/>
                <w:u w:val="none" w:color="0000FF"/>
                <w:lang w:val="en-US" w:eastAsia="zh-CN"/>
              </w:rPr>
              <w:t>各大游戏公司为响应国家号召，限制未成年人的持续游戏时间和游戏时长。该举措刚出现时，我们就经常能看到部分未成年人利用家长信息注册账号，满足自己的游戏欲望，而这也给了非法分子可趁之机。利用未成年人的游戏需求，非法采集他人信息用户注册账号并向未成年人提供，并从中非法牟利，未成年人购买游戏设备使家长财产损失上万的新闻也不在少数。</w:t>
            </w:r>
          </w:p>
          <w:p>
            <w:pPr>
              <w:pStyle w:val="10"/>
              <w:numPr>
                <w:ilvl w:val="0"/>
                <w:numId w:val="0"/>
              </w:numPr>
              <w:ind w:leftChars="0"/>
              <w:rPr>
                <w:rFonts w:hint="eastAsia" w:ascii="宋体" w:hAnsi="宋体" w:cs="宋体"/>
                <w:u w:val="none" w:color="0000FF"/>
                <w:lang w:val="en-US" w:eastAsia="zh-CN"/>
              </w:rPr>
            </w:pPr>
            <w:r>
              <w:rPr>
                <w:rFonts w:hint="eastAsia" w:ascii="宋体" w:hAnsi="宋体" w:cs="宋体"/>
                <w:u w:val="none" w:color="0000FF"/>
                <w:lang w:val="en-US" w:eastAsia="zh-CN"/>
              </w:rPr>
              <w:t>（4）改善建议：</w:t>
            </w:r>
          </w:p>
          <w:p>
            <w:pPr>
              <w:pStyle w:val="10"/>
              <w:numPr>
                <w:ilvl w:val="0"/>
                <w:numId w:val="0"/>
              </w:numPr>
              <w:ind w:leftChars="200" w:firstLine="420" w:firstLineChars="200"/>
              <w:rPr>
                <w:rFonts w:hint="default" w:ascii="宋体" w:hAnsi="宋体" w:cs="宋体"/>
                <w:u w:val="none" w:color="0000FF"/>
                <w:lang w:val="en-US" w:eastAsia="zh-CN"/>
              </w:rPr>
            </w:pPr>
            <w:r>
              <w:rPr>
                <w:rFonts w:hint="eastAsia" w:ascii="宋体" w:hAnsi="宋体" w:cs="宋体"/>
                <w:u w:val="none" w:color="0000FF"/>
                <w:lang w:val="en-US" w:eastAsia="zh-CN"/>
              </w:rPr>
              <w:t>各大游戏公司可以加强对账号的监管制度，对数据异常的账号进行监管，对来源不明的账号进行追溯。另一方面，各大平台应加强对用户信息的保护，降低用户数据泄露风险，阻断企业非法获取公民信息的途径。同时国家应加大对此类违法行为的打击力度，约束企业行为。</w:t>
            </w:r>
          </w:p>
        </w:tc>
      </w:tr>
    </w:tbl>
    <w:p>
      <w:pPr>
        <w:pStyle w:val="10"/>
        <w:rPr>
          <w:rFonts w:ascii="宋体" w:hAnsi="宋体" w:cs="宋体"/>
          <w:b/>
          <w:bCs/>
          <w:color w:val="0000FF"/>
          <w:u w:val="none" w:color="0000FF"/>
          <w:lang w:eastAsia="zh-CN"/>
        </w:rPr>
      </w:pPr>
    </w:p>
    <w:p>
      <w:pPr>
        <w:pStyle w:val="10"/>
        <w:rPr>
          <w:rFonts w:ascii="宋体" w:hAnsi="宋体" w:cs="宋体"/>
          <w:b/>
          <w:bCs/>
          <w:color w:val="0000FF"/>
          <w:u w:val="none" w:color="0000FF"/>
          <w:lang w:eastAsia="zh-CN"/>
        </w:rPr>
      </w:pPr>
    </w:p>
    <w:p>
      <w:pPr>
        <w:rPr>
          <w:rFonts w:ascii="宋体" w:hAnsi="宋体" w:cs="宋体"/>
          <w:b/>
          <w:bCs/>
          <w:sz w:val="24"/>
          <w:lang w:val="zh-TW"/>
        </w:rPr>
      </w:pPr>
      <w:r>
        <w:br w:type="page"/>
      </w:r>
      <w:r>
        <w:t xml:space="preserve">4. </w:t>
      </w:r>
      <w:r>
        <w:rPr>
          <w:rFonts w:hint="eastAsia" w:ascii="宋体" w:hAnsi="宋体" w:cs="宋体"/>
          <w:b/>
          <w:bCs/>
          <w:sz w:val="24"/>
          <w:lang w:val="zh-TW" w:eastAsia="zh-TW"/>
        </w:rPr>
        <w:t>报告</w:t>
      </w:r>
      <w:r>
        <w:rPr>
          <w:rFonts w:ascii="宋体" w:hAnsi="宋体" w:cs="宋体"/>
          <w:b/>
          <w:bCs/>
          <w:sz w:val="24"/>
          <w:lang w:val="zh-TW"/>
        </w:rPr>
        <w:t>写作</w:t>
      </w:r>
    </w:p>
    <w:p>
      <w:pPr>
        <w:jc w:val="center"/>
        <w:rPr>
          <w:rFonts w:hint="eastAsia" w:ascii="宋体" w:hAnsi="宋体" w:cs="Arial"/>
          <w:bCs/>
          <w:sz w:val="24"/>
        </w:rPr>
      </w:pPr>
      <w:r>
        <w:rPr>
          <w:rFonts w:hint="eastAsia" w:ascii="宋体" w:hAnsi="宋体" w:cs="Arial"/>
          <w:bCs/>
          <w:sz w:val="24"/>
        </w:rPr>
        <w:t>企业数字化转型中使用个人信息的合规分析探讨</w:t>
      </w:r>
    </w:p>
    <w:p>
      <w:pPr>
        <w:ind w:firstLine="420" w:firstLineChars="200"/>
        <w:jc w:val="both"/>
        <w:rPr>
          <w:rFonts w:hint="default" w:ascii="宋体" w:hAnsi="宋体" w:cs="Arial"/>
          <w:bCs/>
          <w:sz w:val="21"/>
          <w:szCs w:val="21"/>
          <w:lang w:val="en-US" w:eastAsia="zh-CN"/>
        </w:rPr>
      </w:pPr>
      <w:r>
        <w:rPr>
          <w:rFonts w:hint="eastAsia" w:ascii="宋体" w:hAnsi="宋体" w:cs="Arial"/>
          <w:bCs/>
          <w:sz w:val="21"/>
          <w:szCs w:val="21"/>
          <w:lang w:val="en-US" w:eastAsia="zh-CN"/>
        </w:rPr>
        <w:t>数字经济飞速发展，数字化时代已然到来，促使着各大企业纷纷向数字化迈进，实现自身的数字化转型。个人信息数据作为这一过程中最具价值和最重要的资源，企业要实现数字化转型这一目的，对大量个人信息的采集、加工、处理都是必不可少的环节。因此，企业需重视数字化转型过程中使用个人信息的合规问题。下面就对企业数字化转型中使用个人信息的合规进行相应的分析探讨。</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对于面向大众的企业而言，数字化转型意味着中心化数据库的形成，这也引发了一系列的数据风险。数字化转型初期，人们对于个人信息的保护意识以及对于</w:t>
      </w:r>
      <w:r>
        <w:rPr>
          <w:rFonts w:hint="eastAsia" w:ascii="宋体" w:hAnsi="宋体" w:cs="Arial"/>
          <w:bCs/>
          <w:sz w:val="21"/>
          <w:szCs w:val="21"/>
          <w:lang w:val="en-US" w:eastAsia="zh-CN"/>
        </w:rPr>
        <w:t>自身隐私安全的维权</w:t>
      </w:r>
      <w:r>
        <w:rPr>
          <w:rFonts w:hint="eastAsia" w:ascii="宋体" w:hAnsi="宋体" w:cs="Arial"/>
          <w:bCs/>
          <w:sz w:val="21"/>
          <w:szCs w:val="21"/>
          <w:lang w:val="en-US" w:eastAsia="zh-CN"/>
        </w:rPr>
        <w:t>意识薄弱，当发生个人信息泄露或、丢失被非法使用等情况时，不能主动的利用法律法规进行维权；同时，企业在收集个人信息时对用户合法权益不够重视的现象也十分普遍，企业员工相关法律意识薄弱，对处理数据相关技术部门的投入力度和管控力度也不够大，在工作中容易由于疏忽导致一系列隐私泄露、用户个人信息数据丢失的问题。个人信息作为资源被使用的过程中，其安全不能得到很好的保障，降低了信息主体对企业使用个人信息进行授权的意愿，阻碍了企业的数字化转型进程，不少企业也常常因以上问题陷入民事、行政乃至刑事法律的风险中。</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企业由传统化向数字化迈进，数字化使企业可以通过分析个人产生的信息获取利益，数据具备了极大的价值。因为企业可以从个人信息中获益，就要求国家、政府、地区部门制定相关数据收益分配规则对企业的收益如何在企业、个人信息主体、个人信息处理者等主体当中进行合理分配。</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当个人面临个人隐私受到侵害时，由于向信息收集企业方提起诉讼的所需时间、经济成本高，大大降低了用户的诉讼意愿。即使提起诉讼，个人也难以证明自身的信息泄露是由信息收集企业方的工作所导致。个人向企业提起诉讼难度大，使得当个人信息泄露对于个人造成的损失并不大或几乎无损失时，大多数</w:t>
      </w:r>
      <w:r>
        <w:rPr>
          <w:rFonts w:hint="eastAsia" w:ascii="宋体" w:hAnsi="宋体" w:cs="Arial"/>
          <w:bCs/>
          <w:sz w:val="21"/>
          <w:szCs w:val="21"/>
          <w:lang w:val="en-US" w:eastAsia="zh-CN"/>
        </w:rPr>
        <w:t>个人信息主体选择不进行责任追究和刑事诉讼，这也让很多企业无需对小型信息泄露情况承担相应的责任，大大降低了企业对个人信息主体隐私权的重视程度。</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《数据安全法》中第二十一条提出，规定国家建立数据分类分级保护制度</w:t>
      </w:r>
      <w:r>
        <w:rPr>
          <w:rFonts w:hint="eastAsia" w:ascii="华光楷体_CNKI" w:hAnsi="华光楷体_CNKI" w:eastAsia="华光楷体_CNKI" w:cs="华光楷体_CNKI"/>
          <w:bCs/>
          <w:sz w:val="21"/>
          <w:szCs w:val="21"/>
          <w:vertAlign w:val="superscript"/>
          <w:lang w:val="en-US" w:eastAsia="zh-CN"/>
        </w:rPr>
        <w:t>[5]</w:t>
      </w:r>
      <w:r>
        <w:rPr>
          <w:rFonts w:hint="eastAsia" w:ascii="宋体" w:hAnsi="宋体" w:cs="Arial"/>
          <w:bCs/>
          <w:sz w:val="21"/>
          <w:szCs w:val="21"/>
          <w:lang w:val="en-US" w:eastAsia="zh-CN"/>
        </w:rPr>
        <w:t>，对地区、部门等提出了数据保护相关要求，这一条文的规定体现出数据安全和数据保护在数据使用过程中的重要性。数据安全风险包括数据泄露、数据丢失、数据破坏等，而企业使用数据涉及大量个人信息主体，一旦发生数据安全事故，不仅是企业自身的损失，还有对个人信息主体权益的损害。由于互联网传输速度快，数据一旦丢失，就很难对其进行追回，也难以确定数据丢失的问责主体。</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上述问题的提出，在一定程度上解释了为什么需要进行个人信息合规，指出制定相关法律法规对个人信息使用过程中的合规问题进行规制的必要性。只有通过法律法规手段的介入，才能明确个人信息带来的收益分配、以明确的法律条文支持个人信息主体面对隐私权造侵害时进行维权、明确当数据发生泄露、丢失等问题时的第一责任人、确定问责主体。</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计算机伦理学在教材的第四章对职业道德规范的定义、作用、影响等进行了具体阐述。不同的领域有不同的约定俗成的职业规范，即使它没有实质的约束力和强制力，但社会舆论对其影响很大。我们知道，一个员工的职业素质，除了</w:t>
      </w:r>
      <w:r>
        <w:rPr>
          <w:rFonts w:hint="eastAsia" w:ascii="宋体" w:hAnsi="宋体" w:cs="Arial"/>
          <w:bCs/>
          <w:sz w:val="21"/>
          <w:szCs w:val="21"/>
          <w:lang w:val="en-US" w:eastAsia="zh-CN"/>
        </w:rPr>
        <w:t>要求</w:t>
      </w:r>
      <w:r>
        <w:rPr>
          <w:rFonts w:hint="eastAsia" w:ascii="宋体" w:hAnsi="宋体" w:cs="Arial"/>
          <w:bCs/>
          <w:sz w:val="21"/>
          <w:szCs w:val="21"/>
          <w:lang w:val="en-US" w:eastAsia="zh-CN"/>
        </w:rPr>
        <w:t>其具备一定的专业技能，还要求其具备职业道德和职业修养。对于工作人员而言，也只有具备更高的职业素质，才能真正促进其个人职业发展。在IT行业中，存在对IT专业人员的职业道德行为规范。职业道德规范以道德、舆论监督的手段促使专业人员加强自身道德修养，企业</w:t>
      </w:r>
      <w:r>
        <w:rPr>
          <w:rFonts w:hint="eastAsia" w:ascii="宋体" w:hAnsi="宋体" w:cs="Arial"/>
          <w:bCs/>
          <w:sz w:val="21"/>
          <w:szCs w:val="21"/>
          <w:lang w:val="en-US" w:eastAsia="zh-CN"/>
        </w:rPr>
        <w:t>的知名度越高</w:t>
      </w:r>
      <w:r>
        <w:rPr>
          <w:rFonts w:hint="eastAsia" w:ascii="宋体" w:hAnsi="宋体" w:cs="Arial"/>
          <w:bCs/>
          <w:sz w:val="21"/>
          <w:szCs w:val="21"/>
          <w:lang w:val="en-US" w:eastAsia="zh-CN"/>
        </w:rPr>
        <w:t>，舆论对其监督力度就更大。通过职业道德规范，促使企业主动培养员工的守规守法意识，主动监督个人信息处理者的行为，对员工提出更高的道德规范要求。同样的，职业道德规范的职业素质要求，也使员工能出于对其职业生涯的考虑，在规范个人行为上具备一定的主动性。</w:t>
      </w:r>
    </w:p>
    <w:p>
      <w:pPr>
        <w:ind w:firstLine="420" w:firstLineChars="200"/>
        <w:jc w:val="both"/>
        <w:rPr>
          <w:rFonts w:hint="default" w:ascii="宋体" w:hAnsi="宋体" w:cs="Arial"/>
          <w:bCs/>
          <w:sz w:val="21"/>
          <w:szCs w:val="21"/>
          <w:lang w:val="en-US" w:eastAsia="zh-CN"/>
        </w:rPr>
      </w:pPr>
      <w:r>
        <w:rPr>
          <w:rFonts w:hint="eastAsia" w:ascii="宋体" w:hAnsi="宋体" w:cs="Arial"/>
          <w:bCs/>
          <w:sz w:val="21"/>
          <w:szCs w:val="21"/>
          <w:lang w:val="en-US" w:eastAsia="zh-CN"/>
        </w:rPr>
        <w:t>职业道德规范的存在，主要是从企业及个人信息处理者出发，对个人信息数据安全进行了保护，一定程度上解决了企业数字化转型使用个人信息的合规问题。首先对个人信息收集方企业及个人信息处理者员工的行为进行规范，从使用个人信息源头降低企业数字化转型过程中的数据风险。</w:t>
      </w:r>
      <w:r>
        <w:rPr>
          <w:rFonts w:hint="eastAsia" w:ascii="宋体" w:hAnsi="宋体" w:cs="Arial"/>
          <w:bCs/>
          <w:sz w:val="21"/>
          <w:szCs w:val="21"/>
          <w:lang w:val="en-US" w:eastAsia="zh-CN"/>
        </w:rPr>
        <w:t>职业道德规范虽然以道德、舆论手段对职业人员行为进行了一定的规范，但</w:t>
      </w:r>
      <w:r>
        <w:rPr>
          <w:rFonts w:hint="eastAsia" w:ascii="宋体" w:hAnsi="宋体" w:cs="Arial"/>
          <w:bCs/>
          <w:sz w:val="21"/>
          <w:szCs w:val="21"/>
          <w:lang w:val="en-US" w:eastAsia="zh-CN"/>
        </w:rPr>
        <w:t>从根本上讲，职业道德需通过员工的自律实现。因此在企业使用个人信息合规问题的解决过程中，法律的制定具备了必要性。</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为更加严格地控制企业数字化转型过程中对个人信息使用出现的违规问题，国家相继出台了《网络安全法》、《个人信息保护法》和《数据安全法》等相关法律，对企业、个人信息处理者进行了明确的责任规定和问责制度。《个人信息保护法》中，指出了个人信息处理时应遵循的原则，对于一般信息、敏感个人信息、个人信息跨境具体制定不同的信息处理规则，创建对个人信息分类分级保护体系。该法律还规定了个人信息处理者在处理个人信息过程中应履行的义务，指出当违反规定，或未履行相应义务时，个人信息处理者需要承担相应的法律责任，明确对不同程度的违法行为的处罚力度。《数据安全法》中，提出地区、部门需要对工作中收集和产生的数据及数据安全负责，需要承担数据安全监管职责。还提出多条国家在数据安全治理、开发利用过程中实施的相应战略，创建的相应体系，采取的相应举措。而这些都体现着国家对于个人信息处理合规问题、对数据安全保障问题的重视。法律的制定，能够以其权威性实现企业及工作人员的行为合规，以法律手段实现对个人信息主体，对公民权益、隐私的保护。这也是国家需要出台相关法律的原因、是相关法律存在的意义。</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调动企业自主性，使促进对个人信息处理合规使用成为企业的自主行动。企业可以建立数据合规管理体系，实现对个人信息的统一管理和风险评估；培养人才队伍、提高技术部门工作人员的法律意识，培养企业使用个人信息合规的法治环境，避免因为对相关法律的不全面认识导致违法违规行为情况的出现；制定激励机制提供合规动力，例如政府降低企业的经营成本，企业提高专业人员的工资水平，都能在一定程度上促进企业的自主合规。</w:t>
      </w:r>
    </w:p>
    <w:p>
      <w:pPr>
        <w:ind w:firstLine="420" w:firstLineChars="200"/>
        <w:jc w:val="both"/>
        <w:rPr>
          <w:rFonts w:hint="eastAsia" w:ascii="宋体" w:hAnsi="宋体" w:cs="Arial"/>
          <w:bCs/>
          <w:sz w:val="21"/>
          <w:szCs w:val="21"/>
          <w:lang w:val="en-US" w:eastAsia="zh-CN"/>
        </w:rPr>
      </w:pPr>
      <w:r>
        <w:rPr>
          <w:rFonts w:hint="eastAsia" w:ascii="宋体" w:hAnsi="宋体" w:cs="Arial"/>
          <w:bCs/>
          <w:sz w:val="21"/>
          <w:szCs w:val="21"/>
          <w:lang w:val="en-US" w:eastAsia="zh-CN"/>
        </w:rPr>
        <w:t>个人信息保护散见于国家，各地区部门以及企业本身，在数据价值被不断使用的时代，现有的相关法律法规、安全保障体系、风险评估和检测系统都需要跟着时代的步伐不断更新完善，国家、部门、企业需要建立更加强有力的数据合规法律体系。数字化、信息化代替传统时代是必然，企业向数字化的转型是符合社会经济发展的必然趋势，个人信息</w:t>
      </w:r>
      <w:r>
        <w:rPr>
          <w:rFonts w:hint="eastAsia" w:ascii="宋体" w:hAnsi="宋体" w:cs="Arial"/>
          <w:bCs/>
          <w:sz w:val="21"/>
          <w:szCs w:val="21"/>
          <w:lang w:val="en-US" w:eastAsia="zh-CN"/>
        </w:rPr>
        <w:t>的使用</w:t>
      </w:r>
      <w:r>
        <w:rPr>
          <w:rFonts w:hint="eastAsia" w:ascii="宋体" w:hAnsi="宋体" w:cs="Arial"/>
          <w:bCs/>
          <w:sz w:val="21"/>
          <w:szCs w:val="21"/>
          <w:lang w:val="en-US" w:eastAsia="zh-CN"/>
        </w:rPr>
        <w:t>合规和数据合规仍在不断地分析探讨中被不断解决，企业数字化转型任重而道远。</w:t>
      </w:r>
    </w:p>
    <w:p>
      <w:pPr>
        <w:ind w:firstLine="420" w:firstLineChars="200"/>
        <w:jc w:val="both"/>
        <w:rPr>
          <w:rFonts w:hint="default" w:ascii="宋体" w:hAnsi="宋体" w:cs="Arial"/>
          <w:bCs/>
          <w:sz w:val="21"/>
          <w:szCs w:val="21"/>
          <w:lang w:val="en-US" w:eastAsia="zh-CN"/>
        </w:rPr>
      </w:pPr>
    </w:p>
    <w:p>
      <w:pPr>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参考文献：</w:t>
      </w:r>
    </w:p>
    <w:p>
      <w:pPr>
        <w:numPr>
          <w:ilvl w:val="0"/>
          <w:numId w:val="6"/>
        </w:numPr>
        <w:jc w:val="both"/>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于世梁. APP收集使用个人信息乱象及其治理. 湖北行政学院学报. 2019年第5期.</w:t>
      </w:r>
    </w:p>
    <w:p>
      <w:pPr>
        <w:numPr>
          <w:ilvl w:val="0"/>
          <w:numId w:val="6"/>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 xml:space="preserve">崔晴. 《数据安全法》及《个人信息保护法》要点解读. 《中国外资》| 2022年3月（上）第05期. </w:t>
      </w:r>
    </w:p>
    <w:p>
      <w:pPr>
        <w:numPr>
          <w:ilvl w:val="0"/>
          <w:numId w:val="6"/>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 xml:space="preserve">黄信瑜，周飞宇. 企业数据合规的法律治理研究. 安徽财经大学 法学院，安徽 蚌埠 233030. 《齐齐哈尔大学学报》. 2022年5月. </w:t>
      </w:r>
    </w:p>
    <w:p>
      <w:pPr>
        <w:numPr>
          <w:ilvl w:val="0"/>
          <w:numId w:val="6"/>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 xml:space="preserve">中华人民共和国个人信息保护法. 新华社. 2021-08-20. </w:t>
      </w:r>
    </w:p>
    <w:p>
      <w:pPr>
        <w:numPr>
          <w:ilvl w:val="0"/>
          <w:numId w:val="6"/>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 xml:space="preserve">中华人民共和国数据安全法. 新华社. 2022-04-20. </w:t>
      </w:r>
    </w:p>
    <w:p>
      <w:pPr>
        <w:jc w:val="both"/>
        <w:rPr>
          <w:rFonts w:hint="default" w:ascii="宋体" w:hAnsi="宋体" w:cs="Arial"/>
          <w:bCs/>
          <w:sz w:val="21"/>
          <w:szCs w:val="21"/>
          <w:lang w:val="en-US" w:eastAsia="zh-CN"/>
        </w:rPr>
      </w:pPr>
    </w:p>
    <w:p>
      <w:pPr>
        <w:jc w:val="both"/>
        <w:rPr>
          <w:rFonts w:hint="default" w:ascii="宋体" w:hAnsi="宋体" w:cs="Arial"/>
          <w:bCs/>
          <w:sz w:val="21"/>
          <w:szCs w:val="21"/>
          <w:lang w:val="en-US" w:eastAsia="zh-CN"/>
        </w:rPr>
      </w:pPr>
      <w:bookmarkStart w:id="0" w:name="_GoBack"/>
      <w:bookmarkEnd w:id="0"/>
      <w:r>
        <w:rPr>
          <w:rFonts w:hint="default" w:ascii="宋体" w:hAnsi="宋体" w:cs="Arial"/>
          <w:bCs/>
          <w:sz w:val="21"/>
          <w:szCs w:val="21"/>
          <w:lang w:val="en-US" w:eastAsia="zh-CN"/>
        </w:rPr>
        <w:drawing>
          <wp:inline distT="0" distB="0" distL="114300" distR="114300">
            <wp:extent cx="5752465" cy="1630680"/>
            <wp:effectExtent l="0" t="0" r="635" b="7620"/>
            <wp:docPr id="1" name="图片 1" descr="1655948410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5948410792"/>
                    <pic:cNvPicPr>
                      <a:picLocks noChangeAspect="1"/>
                    </pic:cNvPicPr>
                  </pic:nvPicPr>
                  <pic:blipFill>
                    <a:blip r:embed="rId5"/>
                    <a:stretch>
                      <a:fillRect/>
                    </a:stretch>
                  </pic:blipFill>
                  <pic:spPr>
                    <a:xfrm>
                      <a:off x="0" y="0"/>
                      <a:ext cx="5752465" cy="1630680"/>
                    </a:xfrm>
                    <a:prstGeom prst="rect">
                      <a:avLst/>
                    </a:prstGeom>
                  </pic:spPr>
                </pic:pic>
              </a:graphicData>
            </a:graphic>
          </wp:inline>
        </w:drawing>
      </w:r>
    </w:p>
    <w:sectPr>
      <w:footerReference r:id="rId3" w:type="default"/>
      <w:pgSz w:w="11906" w:h="16838"/>
      <w:pgMar w:top="794" w:right="1418" w:bottom="794" w:left="1418" w:header="794"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00"/>
    <w:family w:val="roman"/>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楷体_GB2312">
    <w:altName w:val="楷体"/>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A00002FF" w:usb1="28CFFCFA"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 w:name="华光楷体_CNKI">
    <w:panose1 w:val="02000500000000000000"/>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sz w:val="21"/>
        <w:szCs w:val="21"/>
      </w:rPr>
    </w:pPr>
    <w:r>
      <w:rPr>
        <w:rFonts w:hint="eastAsia"/>
        <w:sz w:val="21"/>
        <w:szCs w:val="21"/>
      </w:rPr>
      <w:t>第</w:t>
    </w:r>
    <w:r>
      <w:rPr>
        <w:rStyle w:val="8"/>
        <w:sz w:val="21"/>
        <w:szCs w:val="21"/>
      </w:rPr>
      <w:fldChar w:fldCharType="begin"/>
    </w:r>
    <w:r>
      <w:rPr>
        <w:rStyle w:val="8"/>
        <w:sz w:val="21"/>
        <w:szCs w:val="21"/>
      </w:rPr>
      <w:instrText xml:space="preserve"> PAGE </w:instrText>
    </w:r>
    <w:r>
      <w:rPr>
        <w:rStyle w:val="8"/>
        <w:sz w:val="21"/>
        <w:szCs w:val="21"/>
      </w:rPr>
      <w:fldChar w:fldCharType="separate"/>
    </w:r>
    <w:r>
      <w:rPr>
        <w:rStyle w:val="8"/>
        <w:sz w:val="21"/>
        <w:szCs w:val="21"/>
        <w:lang/>
      </w:rPr>
      <w:t>1</w:t>
    </w:r>
    <w:r>
      <w:rPr>
        <w:rStyle w:val="8"/>
        <w:sz w:val="21"/>
        <w:szCs w:val="21"/>
      </w:rPr>
      <w:fldChar w:fldCharType="end"/>
    </w:r>
    <w:r>
      <w:rPr>
        <w:rFonts w:hint="eastAsia"/>
        <w:sz w:val="21"/>
        <w:szCs w:val="21"/>
      </w:rPr>
      <w:t>页  共</w:t>
    </w:r>
    <w:r>
      <w:rPr>
        <w:rStyle w:val="8"/>
        <w:sz w:val="21"/>
        <w:szCs w:val="21"/>
      </w:rPr>
      <w:fldChar w:fldCharType="begin"/>
    </w:r>
    <w:r>
      <w:rPr>
        <w:rStyle w:val="8"/>
        <w:sz w:val="21"/>
        <w:szCs w:val="21"/>
      </w:rPr>
      <w:instrText xml:space="preserve"> NUMPAGES </w:instrText>
    </w:r>
    <w:r>
      <w:rPr>
        <w:rStyle w:val="8"/>
        <w:sz w:val="21"/>
        <w:szCs w:val="21"/>
      </w:rPr>
      <w:fldChar w:fldCharType="separate"/>
    </w:r>
    <w:r>
      <w:rPr>
        <w:rStyle w:val="8"/>
        <w:sz w:val="21"/>
        <w:szCs w:val="21"/>
        <w:lang/>
      </w:rPr>
      <w:t>1</w:t>
    </w:r>
    <w:r>
      <w:rPr>
        <w:rStyle w:val="8"/>
        <w:sz w:val="21"/>
        <w:szCs w:val="21"/>
      </w:rPr>
      <w:fldChar w:fldCharType="end"/>
    </w:r>
    <w:r>
      <w:rPr>
        <w:rFonts w:hint="eastAsia"/>
        <w:sz w:val="21"/>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B7362"/>
    <w:multiLevelType w:val="singleLevel"/>
    <w:tmpl w:val="831B7362"/>
    <w:lvl w:ilvl="0" w:tentative="0">
      <w:start w:val="1"/>
      <w:numFmt w:val="decimal"/>
      <w:suff w:val="nothing"/>
      <w:lvlText w:val="（%1）"/>
      <w:lvlJc w:val="left"/>
    </w:lvl>
  </w:abstractNum>
  <w:abstractNum w:abstractNumId="1">
    <w:nsid w:val="CDF0457A"/>
    <w:multiLevelType w:val="singleLevel"/>
    <w:tmpl w:val="CDF0457A"/>
    <w:lvl w:ilvl="0" w:tentative="0">
      <w:start w:val="1"/>
      <w:numFmt w:val="decimal"/>
      <w:lvlText w:val="[%1]"/>
      <w:lvlJc w:val="left"/>
      <w:pPr>
        <w:tabs>
          <w:tab w:val="left" w:pos="312"/>
        </w:tabs>
      </w:pPr>
    </w:lvl>
  </w:abstractNum>
  <w:abstractNum w:abstractNumId="2">
    <w:nsid w:val="0EC257B4"/>
    <w:multiLevelType w:val="multilevel"/>
    <w:tmpl w:val="0EC257B4"/>
    <w:lvl w:ilvl="0" w:tentative="0">
      <w:start w:val="1"/>
      <w:numFmt w:val="ideographDigital"/>
      <w:lvlText w:val="%1."/>
      <w:lvlJc w:val="left"/>
      <w:pPr>
        <w:tabs>
          <w:tab w:val="left" w:pos="420"/>
        </w:tabs>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87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70" w:hanging="13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71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13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30" w:hanging="13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297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39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90" w:hanging="13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27DFBB6C"/>
    <w:multiLevelType w:val="singleLevel"/>
    <w:tmpl w:val="27DFBB6C"/>
    <w:lvl w:ilvl="0" w:tentative="0">
      <w:start w:val="2"/>
      <w:numFmt w:val="decimal"/>
      <w:suff w:val="nothing"/>
      <w:lvlText w:val="（%1）"/>
      <w:lvlJc w:val="left"/>
    </w:lvl>
  </w:abstractNum>
  <w:abstractNum w:abstractNumId="4">
    <w:nsid w:val="7D236FF2"/>
    <w:multiLevelType w:val="multilevel"/>
    <w:tmpl w:val="7D236FF2"/>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3"/>
  </w:num>
  <w:num w:numId="4">
    <w:abstractNumId w:val="0"/>
  </w:num>
  <w:num w:numId="5">
    <w:abstractNumId w:val="2"/>
    <w:lvlOverride w:ilvl="0">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00BD2D65"/>
    <w:rsid w:val="000E0A9E"/>
    <w:rsid w:val="0013004F"/>
    <w:rsid w:val="001E0B7E"/>
    <w:rsid w:val="002036FB"/>
    <w:rsid w:val="002A112E"/>
    <w:rsid w:val="002A7CE3"/>
    <w:rsid w:val="00324F57"/>
    <w:rsid w:val="00326D45"/>
    <w:rsid w:val="00351741"/>
    <w:rsid w:val="003F07E9"/>
    <w:rsid w:val="00541EF0"/>
    <w:rsid w:val="006114E2"/>
    <w:rsid w:val="00663530"/>
    <w:rsid w:val="006F76AA"/>
    <w:rsid w:val="00730F3A"/>
    <w:rsid w:val="007535F7"/>
    <w:rsid w:val="007736E0"/>
    <w:rsid w:val="0078768E"/>
    <w:rsid w:val="00927D27"/>
    <w:rsid w:val="00963E92"/>
    <w:rsid w:val="00B259DE"/>
    <w:rsid w:val="00BC5CB6"/>
    <w:rsid w:val="00BD2D65"/>
    <w:rsid w:val="00D42BE6"/>
    <w:rsid w:val="00DB0FF0"/>
    <w:rsid w:val="00DB34E7"/>
    <w:rsid w:val="00E02B78"/>
    <w:rsid w:val="00E602E6"/>
    <w:rsid w:val="00E71FF4"/>
    <w:rsid w:val="00F4498F"/>
    <w:rsid w:val="011078C7"/>
    <w:rsid w:val="01EB45BC"/>
    <w:rsid w:val="02353A89"/>
    <w:rsid w:val="02F70D3E"/>
    <w:rsid w:val="03922815"/>
    <w:rsid w:val="04E672BC"/>
    <w:rsid w:val="05353DA0"/>
    <w:rsid w:val="05976809"/>
    <w:rsid w:val="068A13A4"/>
    <w:rsid w:val="06954AF6"/>
    <w:rsid w:val="070E6657"/>
    <w:rsid w:val="0730481F"/>
    <w:rsid w:val="073E6F3C"/>
    <w:rsid w:val="075C73C2"/>
    <w:rsid w:val="07EF6488"/>
    <w:rsid w:val="09173EE8"/>
    <w:rsid w:val="0ADF4592"/>
    <w:rsid w:val="0AF85654"/>
    <w:rsid w:val="0B41524D"/>
    <w:rsid w:val="0B7B39F4"/>
    <w:rsid w:val="0BDF6813"/>
    <w:rsid w:val="0BFB5CEE"/>
    <w:rsid w:val="0CB87790"/>
    <w:rsid w:val="0D4032E2"/>
    <w:rsid w:val="0F4C41C0"/>
    <w:rsid w:val="0F517A28"/>
    <w:rsid w:val="11AD363C"/>
    <w:rsid w:val="11D657F8"/>
    <w:rsid w:val="129E11D6"/>
    <w:rsid w:val="12AD31C8"/>
    <w:rsid w:val="13D11138"/>
    <w:rsid w:val="17013AE2"/>
    <w:rsid w:val="17173305"/>
    <w:rsid w:val="17261D73"/>
    <w:rsid w:val="1820443C"/>
    <w:rsid w:val="193208CA"/>
    <w:rsid w:val="193D19B1"/>
    <w:rsid w:val="1BE51C24"/>
    <w:rsid w:val="1C1F5136"/>
    <w:rsid w:val="1CAA0778"/>
    <w:rsid w:val="1E5B441F"/>
    <w:rsid w:val="1E9811D0"/>
    <w:rsid w:val="1F066139"/>
    <w:rsid w:val="1F890B18"/>
    <w:rsid w:val="1F891D47"/>
    <w:rsid w:val="1FDB5818"/>
    <w:rsid w:val="206C4CD9"/>
    <w:rsid w:val="20A83220"/>
    <w:rsid w:val="20E22BD6"/>
    <w:rsid w:val="21464F13"/>
    <w:rsid w:val="21845A3B"/>
    <w:rsid w:val="21B87493"/>
    <w:rsid w:val="22032E04"/>
    <w:rsid w:val="236553F8"/>
    <w:rsid w:val="2389558B"/>
    <w:rsid w:val="23DC1B5F"/>
    <w:rsid w:val="24535D9D"/>
    <w:rsid w:val="246D27B7"/>
    <w:rsid w:val="24804DBA"/>
    <w:rsid w:val="24F55C0D"/>
    <w:rsid w:val="26B75F6B"/>
    <w:rsid w:val="26E31456"/>
    <w:rsid w:val="291A4422"/>
    <w:rsid w:val="2A0C4870"/>
    <w:rsid w:val="2D151C3D"/>
    <w:rsid w:val="2D744BB6"/>
    <w:rsid w:val="2EF7784D"/>
    <w:rsid w:val="2FE82213"/>
    <w:rsid w:val="30196F7B"/>
    <w:rsid w:val="303845C1"/>
    <w:rsid w:val="315471D8"/>
    <w:rsid w:val="319B6BB5"/>
    <w:rsid w:val="32432DA9"/>
    <w:rsid w:val="3307027A"/>
    <w:rsid w:val="335523BF"/>
    <w:rsid w:val="338E62A6"/>
    <w:rsid w:val="34FB796B"/>
    <w:rsid w:val="35243365"/>
    <w:rsid w:val="3538296D"/>
    <w:rsid w:val="35867B7C"/>
    <w:rsid w:val="35BA15D4"/>
    <w:rsid w:val="36FE6732"/>
    <w:rsid w:val="380D5083"/>
    <w:rsid w:val="38D4425E"/>
    <w:rsid w:val="39475874"/>
    <w:rsid w:val="398E34A3"/>
    <w:rsid w:val="399349BB"/>
    <w:rsid w:val="39EC3D26"/>
    <w:rsid w:val="39F257E0"/>
    <w:rsid w:val="3A371445"/>
    <w:rsid w:val="3AEF1277"/>
    <w:rsid w:val="3B3F4A55"/>
    <w:rsid w:val="3B9603ED"/>
    <w:rsid w:val="3BA448B8"/>
    <w:rsid w:val="3C320116"/>
    <w:rsid w:val="3C687FDC"/>
    <w:rsid w:val="3D3E6B99"/>
    <w:rsid w:val="3D4C16AB"/>
    <w:rsid w:val="3DDC2A2F"/>
    <w:rsid w:val="3F057D64"/>
    <w:rsid w:val="40297A82"/>
    <w:rsid w:val="40556AC9"/>
    <w:rsid w:val="40E340D5"/>
    <w:rsid w:val="44817E8C"/>
    <w:rsid w:val="44A122DD"/>
    <w:rsid w:val="45230F44"/>
    <w:rsid w:val="47A81BD4"/>
    <w:rsid w:val="485B45AB"/>
    <w:rsid w:val="488A12DA"/>
    <w:rsid w:val="49DA6174"/>
    <w:rsid w:val="4A45195C"/>
    <w:rsid w:val="4ADE5425"/>
    <w:rsid w:val="4B076C12"/>
    <w:rsid w:val="4B2A6963"/>
    <w:rsid w:val="4C8D3147"/>
    <w:rsid w:val="4D07629F"/>
    <w:rsid w:val="4DCB03CA"/>
    <w:rsid w:val="4E4071E9"/>
    <w:rsid w:val="4E772300"/>
    <w:rsid w:val="4FF21C3E"/>
    <w:rsid w:val="515D3A2F"/>
    <w:rsid w:val="51840FBC"/>
    <w:rsid w:val="51DF61F2"/>
    <w:rsid w:val="521F0CE5"/>
    <w:rsid w:val="55BD502A"/>
    <w:rsid w:val="5664316A"/>
    <w:rsid w:val="56C1236A"/>
    <w:rsid w:val="5708213C"/>
    <w:rsid w:val="57B43C7D"/>
    <w:rsid w:val="580E7831"/>
    <w:rsid w:val="5862192B"/>
    <w:rsid w:val="59903A7A"/>
    <w:rsid w:val="59CD7278"/>
    <w:rsid w:val="5B914A01"/>
    <w:rsid w:val="5BB46942"/>
    <w:rsid w:val="5C013209"/>
    <w:rsid w:val="5CC901CB"/>
    <w:rsid w:val="5D1F7DEB"/>
    <w:rsid w:val="5D50269A"/>
    <w:rsid w:val="5D79399F"/>
    <w:rsid w:val="5E604B5F"/>
    <w:rsid w:val="604C38E0"/>
    <w:rsid w:val="60FF065F"/>
    <w:rsid w:val="61077514"/>
    <w:rsid w:val="61446072"/>
    <w:rsid w:val="61775A1A"/>
    <w:rsid w:val="620A72BB"/>
    <w:rsid w:val="62566E28"/>
    <w:rsid w:val="62A3501A"/>
    <w:rsid w:val="62BE1E54"/>
    <w:rsid w:val="62C90F25"/>
    <w:rsid w:val="632C14B3"/>
    <w:rsid w:val="64721148"/>
    <w:rsid w:val="64CC6AAA"/>
    <w:rsid w:val="64E75692"/>
    <w:rsid w:val="651D7306"/>
    <w:rsid w:val="65E87914"/>
    <w:rsid w:val="66950875"/>
    <w:rsid w:val="67010561"/>
    <w:rsid w:val="675D7E8D"/>
    <w:rsid w:val="67F24A7A"/>
    <w:rsid w:val="68896A60"/>
    <w:rsid w:val="6958090C"/>
    <w:rsid w:val="697F058F"/>
    <w:rsid w:val="69A9560C"/>
    <w:rsid w:val="69DD786A"/>
    <w:rsid w:val="6A0960AB"/>
    <w:rsid w:val="6A1A3E14"/>
    <w:rsid w:val="6A242EE4"/>
    <w:rsid w:val="6AA33495"/>
    <w:rsid w:val="6C4038DA"/>
    <w:rsid w:val="6C8E0883"/>
    <w:rsid w:val="6CD53018"/>
    <w:rsid w:val="6E8C1058"/>
    <w:rsid w:val="73683E42"/>
    <w:rsid w:val="74500088"/>
    <w:rsid w:val="75230B15"/>
    <w:rsid w:val="756D3991"/>
    <w:rsid w:val="79B31B8F"/>
    <w:rsid w:val="79BF6786"/>
    <w:rsid w:val="7B5A49B8"/>
    <w:rsid w:val="7C72188D"/>
    <w:rsid w:val="7D326920"/>
    <w:rsid w:val="7D761851"/>
    <w:rsid w:val="7E2748F9"/>
    <w:rsid w:val="7E4C5BA2"/>
    <w:rsid w:val="7E90249F"/>
    <w:rsid w:val="7F623E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styleId="9">
    <w:name w:val="Hyperlink"/>
    <w:basedOn w:val="7"/>
    <w:uiPriority w:val="0"/>
    <w:rPr>
      <w:color w:val="0000FF"/>
      <w:u w:val="single"/>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cs="Arial Unicode MS"/>
      <w:color w:val="000000"/>
      <w:kern w:val="2"/>
      <w:sz w:val="21"/>
      <w:szCs w:val="21"/>
      <w:u w:val="none" w:color="000000"/>
      <w:lang w:val="en-US" w:eastAsia="en-US" w:bidi="ar-SA"/>
    </w:rPr>
  </w:style>
  <w:style w:type="table" w:customStyle="1" w:styleId="11">
    <w:name w:val="Table Normal"/>
    <w:uiPriority w:val="0"/>
    <w:pPr>
      <w:pBdr>
        <w:top w:val="none" w:color="auto" w:sz="0" w:space="0"/>
        <w:left w:val="none" w:color="auto" w:sz="0" w:space="0"/>
        <w:bottom w:val="none" w:color="auto" w:sz="0" w:space="0"/>
        <w:right w:val="none" w:color="auto" w:sz="0" w:space="0"/>
        <w:between w:val="none" w:color="auto" w:sz="0" w:space="0"/>
      </w:pBdr>
    </w:pPr>
    <w:rPr>
      <w:lang w:val="en-US" w:eastAsia="zh-CN" w:bidi="ar-SA"/>
    </w:rPr>
    <w:tblPr>
      <w:tblStyle w:val="5"/>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9334</Words>
  <Characters>9620</Characters>
  <Lines>11</Lines>
  <Paragraphs>3</Paragraphs>
  <TotalTime>6</TotalTime>
  <ScaleCrop>false</ScaleCrop>
  <LinksUpToDate>false</LinksUpToDate>
  <CharactersWithSpaces>9650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2022-05-24T16:53:00Z</dcterms:created>
  <dc:creator>DengBingZhong</dc:creator>
  <cp:lastModifiedBy>Taki</cp:lastModifiedBy>
  <cp:lastPrinted>2007-05-17T00:51:00Z</cp:lastPrinted>
  <dcterms:modified xsi:type="dcterms:W3CDTF">2022-06-23T01:40:22Z</dcterms:modified>
  <dc:title>深圳大学考试答题纸</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EEC1A639DB42421BAC8BB4CDD6A19A94</vt:lpwstr>
  </property>
</Properties>
</file>