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1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8306"/>
      </w:tblGrid>
      <w:tr w14:paraId="19B10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46D64D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主要</w:t>
            </w:r>
          </w:p>
          <w:p w14:paraId="32367B4D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研究</w:t>
            </w:r>
          </w:p>
          <w:p w14:paraId="6202C501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内容</w:t>
            </w:r>
          </w:p>
          <w:p w14:paraId="71951F3B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宋体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要求</w:t>
            </w:r>
          </w:p>
        </w:tc>
        <w:tc>
          <w:tcPr>
            <w:tcW w:w="8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F45AF7">
            <w:pPr>
              <w:spacing w:before="156" w:beforeLines="50" w:after="156" w:afterLines="50" w:line="360" w:lineRule="auto"/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  <w:t>主要研究内容及指标要求：</w:t>
            </w:r>
          </w:p>
          <w:p w14:paraId="797DF2AD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</w:rPr>
              <w:t>主要研究内容：</w:t>
            </w:r>
          </w:p>
          <w:p w14:paraId="67435DAD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本课题旨在设计并实现一套智能健身系统，通过前端 PC 端系统（用户与教练使用）与后端管理系统（管理员使用）相结合，为健身房会员提供便捷的自助服务，并为健身房管理者提供高效的运营工具。</w:t>
            </w:r>
          </w:p>
          <w:p w14:paraId="4AB5B3B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（一）用户 / 教练 PC 端系统功能实现</w:t>
            </w:r>
          </w:p>
          <w:p w14:paraId="1E5A5E04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核心服务（会员）：深入研究会员自助服务的完整闭环。办卡环节实现健身卡（如月卡、季卡、次卡）的在线浏览、选购、下单及支付功能，购课功能开发私教课程和公共课程的展示、筛选（按教练、按时间、按课程类型）、购买及支付功能。约课功能实现会员对已购课程的预约，包括查看教练可用时间表、选择时间段、提交预约并等待教练确认（或系统自动确认）。</w:t>
            </w:r>
          </w:p>
          <w:p w14:paraId="0D6F519A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核心服务（教练）：登录与排班模块设置教练专属登录通道，实现个人排班管理，教练可查看（日 / 周视图）个人课表，并可（有限度地）设置可被预约的时间。预约管理模块支持教练查看学员的预约申请，执行 “确认” 或 “拒绝” 操作，且能查看已确认的学员列表。课程核销是关键业务点，实现教练对已完成课程的在线核销，教练在学员上课完毕后，在系统中点击 “确认核销”，系统将扣除学员对应课时。</w:t>
            </w:r>
          </w:p>
          <w:p w14:paraId="069C1DAD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入场与核销机制：入场环节设计无感（或弱感）流程，会员在前台报手机号后四位，系统调出匹配会员，前台管理员通过</w:t>
            </w: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获取办卡会员录入的人脸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进行人脸比对，核验会员身份及健身卡状态后，系统记录入场。</w:t>
            </w:r>
          </w:p>
          <w:p w14:paraId="0DF375C9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个人中心：会员可查看与修改个人信息（昵称、头像），查询个人健身卡状态（有效期、剩余次数），管理课程订单（已购、待支付），查看与取消预约记录（待进行、已完成、已取消）。教练可进行个人信息管理、查询历史授课记录、管理学员（查看学员列表及其课程剩余情况）等。</w:t>
            </w:r>
          </w:p>
          <w:p w14:paraId="50BA40EA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智能交互（亮点功能）：AI 助手集成智能聊天功能，前端实现一个 WebSocket 或 HTTP 轮询的聊天窗口，后端对接第三方大语言模型 API（如 Kimi、Gemini 等）或自建基于 RAG（检索增强生成）的知识库，为用户提供 7x24 小时的健身房规则、课程价格、教练介绍等基础问题的自动问答服务。</w:t>
            </w:r>
          </w:p>
          <w:p w14:paraId="078585CC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（二）管理层后台 PC 系统开发</w:t>
            </w:r>
          </w:p>
          <w:p w14:paraId="64AF1588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基础信息管理：通过 CRUD 操作实现健身房基本信息（名称、地址、联系方式）、会员信息（含人脸特征值管理）、教练信息（简介、资质、照片）、私教 / 公共课（详情、价格、库存）、健身卡类型（价格、有效期、权益）以及首页轮播图（排序、上下架）的完整管理界面。</w:t>
            </w:r>
          </w:p>
          <w:p w14:paraId="2A911CF7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业务控制：入场监控实现会员入场核验的辅助界面，管理员可查看人脸比对结果并进行手动放行操作。课程管理要求教练上架新课程后，需由管理员审核通过方可展示在前台。状态管理模块支持管理员手动调整会员状态、核销课程、管理器械与更衣室（可选功能）的使用状态。</w:t>
            </w:r>
          </w:p>
          <w:p w14:paraId="430EB728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（三）核心算法与机制设计</w:t>
            </w:r>
          </w:p>
          <w:p w14:paraId="7820D5FC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预约与调度算法：冲突检测设计并实现高效的时间范围冲突检测算法，当会员提交预约（时间范围 [StartA, EndA]）时，系统必须检查该时段与教练已有的所有预约（[StartB, EndB]）是否存在重叠，重叠条件为（StartA &lt; EndB）AND（EndA &gt; StartB），此检查需在数据库层面（如使用查询）和 / 或应用层面实现，并考虑并发预约时的锁机制。</w:t>
            </w:r>
          </w:p>
          <w:p w14:paraId="4FF3E890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状态管理机制：会员状态机设计明确的会员状态机（如普通会员、VIP 会员），例如当会员首次购买私教课时，状态自动从普通会员升级为 VIP 会员，当 VIP 会员的私教课时数为 0 时，自动降级为普通会员，此逻辑可通过数据库触发器或应用层的事件监听器（如监听订单支付成功事件）实现。</w:t>
            </w:r>
          </w:p>
          <w:p w14:paraId="04459B37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（四）系统架构与数据设计</w:t>
            </w:r>
          </w:p>
          <w:p w14:paraId="5A1DB584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架构选型：前后端分离确定采用前后端分离架构，后端使用 Spring Boot + Spring Security + MyBatisPlus + MySQL + Redis，前端使用 Vue 3 + Element Plus，并构建为两个独立的 SPA（单页应用）项目，一个用于用户 / 教练，一个用于管理后台。模块划分要求后端按业务逻辑清晰划分模块（如 auth、user、course、booking、order、dashboard）。</w:t>
            </w:r>
          </w:p>
          <w:p w14:paraId="3D39F6C5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数据存储设计：MySQL 需进行详细的数据库概念设计与逻辑设计，输出 E-R 图，重点设计 users（含 role 字段）、coaches、classes（课程）、gym_cards（健身卡）、orders（订单）、order_items（订单详情）、bookings（预约表）等核心表，明确表间关系（一对多、多对多）。Redis 制定缓存策略，例如使用 String 类型缓存 ECharts 报表聚合结果（定时刷新），使用 Hash 类型缓存热点课程的库存信息，使用 ZSet 缓存教练的时间表，使用 String 缓存 JWT Token（用于黑名单或续签）。</w:t>
            </w:r>
          </w:p>
          <w:p w14:paraId="087ED2A5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接口规范设计：RESTful API 严格遵循 RESTful 风格设计 API，使用 HTTP 动词（GET、POST、PUT、DELETE）表示操作，使用名词（如 /users、/courses）表示资源。统一响应设计全局统一的 JSON 响应体格式，例如 {"code": 0, "message": "success", "data": {...} } 或 { "code": 4001, "message": "Invalid parameter", "data": null }。</w:t>
            </w:r>
          </w:p>
          <w:p w14:paraId="4ABFE471">
            <w:pPr>
              <w:spacing w:line="400" w:lineRule="atLeast"/>
              <w:ind w:firstLine="480" w:firstLineChars="200"/>
              <w:rPr>
                <w:rFonts w:hint="eastAsia" w:ascii="宋体" w:hAnsi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</w:rPr>
              <w:t>指标要求：</w:t>
            </w:r>
          </w:p>
          <w:p w14:paraId="73187BAE">
            <w:pPr>
              <w:spacing w:line="400" w:lineRule="atLeast"/>
              <w:ind w:firstLine="42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</w:t>
            </w: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一）功能性指标</w:t>
            </w:r>
          </w:p>
          <w:p w14:paraId="02A3DF2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覆盖率必须 100% 覆盖 “项目功能优先级与详细分解.docx” 中第一、二优先级的核心功能。流程完整性要求核心业务流程（办卡 -&gt; 入场 -&gt; 购课 -&gt; 约课 -&gt; 核销）必须形成数据和操作上的完整闭环，不允许流程中断。准确率方面，课程预约（含冲突检测）冲突率必须为 0%，ECharts 可视化报表数据与数据库源数据必须 100% 一致，AI 聊天助手对预设知识库内问题（如课程价格）的回答准确率≥90%。</w:t>
            </w:r>
          </w:p>
          <w:p w14:paraId="588A52A9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（二）性能指标</w:t>
            </w:r>
          </w:p>
          <w:p w14:paraId="460575BA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响应时间要求核心接口（/login、/auth/checkin（入场核验）、/bookings/create（预约）、/orders/create（创单））在 300 并发用户数下的平均响应时间（Avg RT）必须≤800ms。并发能力要求系统需通过 JMeter 等工具的压力测试，必须支持≥300 个并发用户（QPS）同时进行混合操作（登录、浏览、预约）的场景。加载时间方面，前端 PC 页面（用户 / 教练端、管理后台）首次加载时间≤2 秒，管理后台 ECharts 报表（中等数据量，如 1000 条记录）的渲染完成时间≤3 秒。</w:t>
            </w:r>
          </w:p>
          <w:p w14:paraId="2C801BC4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（三）可靠性指标</w:t>
            </w:r>
          </w:p>
          <w:p w14:paraId="3963964D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稳定性要求系统在部署后，7×24 小时稳定运行，平均无故障时间（MTBF）≥360 小时（即在最终测试周内无重大宕机）。数据一致性要求在模拟异常场景（如网络中断、服务器重启、Redis 宕机）下，必须保证核心数据（特别是订单状态、课时余额）的一致性，例如支付回调处理必须是幂等的，课时核销必须与预约记录强关联。</w:t>
            </w:r>
          </w:p>
          <w:p w14:paraId="6DF7C612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（四）安全性指标</w:t>
            </w:r>
          </w:p>
          <w:p w14:paraId="2DE2EBC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鉴权与授权必须采用 JWT（或 Token）机制，所有 API 接口（除登录注册等白名单接口）必须进行 Token 校验，必须实现严格的角色权限控制（RBAC），例如会员不能调用教练或管理员的 API，否则返回 403 Forbidden。数据安全要求用户敏感信息（手机号、人脸特征值）在数据库中必须加密存储（如使用 AES），用户密码必须使用 bcrypt 等加盐哈希算法存储，不可明文。防攻击要求系统必须通过基础的安全测试，能有效防止 SQL 注入（使用 MyBatis/JPA 可天然防范）、XSS 跨站脚本攻击（前端对输出内容进行转义）、CSRF（后端校验 Referer 或使用 Token）、越权访问（严格校验操作数据是否属于当前用户）。</w:t>
            </w:r>
          </w:p>
          <w:p w14:paraId="13B9DA2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（五）用户体验指标</w:t>
            </w:r>
          </w:p>
          <w:p w14:paraId="4D0A9A35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操作流程要求用户 / 教练端的核心操作（如 “登录” 到 “成功预约一节课”、“登录” 到 “成功购买一张卡”）的点击步骤不超过 4 步。界面规范要求界面设计简洁易用，符合 PC 端 Web 设计规范（如使用 Element Plus/Ant Design 的栅格系统、统一的色彩和字体规范），在主流浏览器（Chrome、Firefox）上无明显布局错乱。数据延迟要求管理后台 ECharts 数据看板的数据延迟（T+1 或准实时）≤5 分钟，AI 聊天助手首包响应时间≤3 秒。</w:t>
            </w:r>
          </w:p>
          <w:p w14:paraId="7D4F1C60">
            <w:pPr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 w14:paraId="2FDD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09EFA"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b/>
                <w:sz w:val="24"/>
              </w:rPr>
            </w:pPr>
          </w:p>
          <w:p w14:paraId="44E25DE8"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进度</w:t>
            </w:r>
          </w:p>
          <w:p w14:paraId="6415CDB7">
            <w:pPr>
              <w:spacing w:before="100" w:beforeAutospacing="1" w:after="100" w:afterAutospacing="1"/>
              <w:jc w:val="center"/>
              <w:rPr>
                <w:rFonts w:ascii="宋体" w:hAnsi="Times New Roman" w:eastAsia="宋体" w:cs="宋体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计划</w:t>
            </w:r>
          </w:p>
        </w:tc>
        <w:tc>
          <w:tcPr>
            <w:tcW w:w="8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tbl>
            <w:tblPr>
              <w:tblStyle w:val="6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73"/>
              <w:gridCol w:w="4505"/>
            </w:tblGrid>
            <w:tr w14:paraId="2370A3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C70BA25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起止日期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A386F45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主要内容</w:t>
                  </w:r>
                </w:p>
              </w:tc>
            </w:tr>
            <w:tr w14:paraId="2B8684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EB8F240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2025年11月20日至2025年12月24日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ADB54E7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查阅相关文献资料，明确研究内容，完成外文翻译、文献综述和开题报告。</w:t>
                  </w:r>
                </w:p>
              </w:tc>
            </w:tr>
            <w:tr w14:paraId="1C18E1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136E6BC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2025年12月25日至2026年1月21日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CD44140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做好开题答辩准备，完成开题答辩。</w:t>
                  </w:r>
                </w:p>
              </w:tc>
            </w:tr>
            <w:tr w14:paraId="7436F9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B8CCC3D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2026年1月22日至2026年3月11日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5539EF56">
                  <w:pPr>
                    <w:numPr>
                      <w:ilvl w:val="0"/>
                      <w:numId w:val="1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系统开发完成达50%；</w:t>
                  </w:r>
                </w:p>
                <w:p w14:paraId="093C51CC">
                  <w:pPr>
                    <w:numPr>
                      <w:ilvl w:val="0"/>
                      <w:numId w:val="1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论文撰写完成前三章；</w:t>
                  </w:r>
                </w:p>
                <w:p w14:paraId="0BC8C680">
                  <w:pPr>
                    <w:numPr>
                      <w:ilvl w:val="0"/>
                      <w:numId w:val="1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准备中期检查材料，接受教研室及学院的中期检查。</w:t>
                  </w:r>
                </w:p>
              </w:tc>
            </w:tr>
            <w:tr w14:paraId="4F5AF2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7EC547D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2026年3月12日至2026年4月30日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6F7BA1F">
                  <w:pPr>
                    <w:numPr>
                      <w:ilvl w:val="0"/>
                      <w:numId w:val="2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系统开发全部完成；</w:t>
                  </w:r>
                </w:p>
                <w:p w14:paraId="2B0FDCBC">
                  <w:pPr>
                    <w:numPr>
                      <w:ilvl w:val="0"/>
                      <w:numId w:val="2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论文定稿，并查重。</w:t>
                  </w:r>
                </w:p>
              </w:tc>
            </w:tr>
            <w:tr w14:paraId="75EEF7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52B45765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2026年5月6日至2026年5月14日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4D2A351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接受指导老师评阅、评阅老师盲审、督导检查，并对反馈的意见进行修改。</w:t>
                  </w:r>
                </w:p>
              </w:tc>
            </w:tr>
            <w:tr w14:paraId="4158AB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8D2FDA8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2026年5月15日至2026年5月27日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077F553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准备答辩资料，参加毕业设计答辩。</w:t>
                  </w:r>
                </w:p>
              </w:tc>
            </w:tr>
            <w:tr w14:paraId="41D26E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BC0E2D1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2026年5月28日至2026年6月15日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69EF4E5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对毕业设计期间的资料进行归档。</w:t>
                  </w:r>
                </w:p>
              </w:tc>
            </w:tr>
          </w:tbl>
          <w:p w14:paraId="61066C90">
            <w:pPr>
              <w:rPr>
                <w:rFonts w:ascii="宋体" w:hAnsi="Times New Roman" w:eastAsia="宋体" w:cs="Times New Roman"/>
                <w:sz w:val="24"/>
              </w:rPr>
            </w:pPr>
          </w:p>
        </w:tc>
      </w:tr>
      <w:tr w14:paraId="4F02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2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6E824"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主要参考文献</w:t>
            </w:r>
          </w:p>
        </w:tc>
        <w:tc>
          <w:tcPr>
            <w:tcW w:w="8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F9EC82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[1]周玉光,赵海涛,樊继慧,等.基于SpringBoot的消防站健身房系统建设[J].电脑知识与技术,2024,20(17):75-77.DOI:10.14004/j.cnki.ckt.2024.0927.</w:t>
            </w:r>
          </w:p>
          <w:p w14:paraId="648442B5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[2]董玫方.L健身房营销策略优化研究[D].</w:t>
            </w:r>
            <w:r>
              <w:rPr>
                <w:rFonts w:hint="eastAsia" w:ascii="宋体" w:cs="Times New Roman"/>
                <w:szCs w:val="21"/>
                <w:lang w:val="en-US" w:eastAsia="zh-CN"/>
              </w:rPr>
              <w:t>上海:</w: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华东师范大学,2023.DOI:10.27149/d.cnki.ghdsu.2023.004314.</w:t>
            </w:r>
          </w:p>
          <w:p w14:paraId="68534E98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[3]桑冉航,李晓明.基于Spring Boot的健身房管理系统的设计与实现[J].电脑知识与技术,2023,19(22):54-56.DOI:10.14004/j.cnki.ckt.2023.1239.</w:t>
            </w:r>
          </w:p>
          <w:p w14:paraId="3EDEDB1B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[4]张佳锦.自助式健身房服务设计研究[D].</w:t>
            </w:r>
            <w:r>
              <w:rPr>
                <w:rFonts w:hint="eastAsia" w:ascii="宋体" w:cs="Times New Roman"/>
                <w:szCs w:val="21"/>
                <w:lang w:val="en-US" w:eastAsia="zh-CN"/>
              </w:rPr>
              <w:t>沈阳:</w: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沈阳航空航天大学,2023.DOI:10.27324/d.cnki.gshkc.2023.000460.</w:t>
            </w:r>
          </w:p>
          <w:p w14:paraId="2790BE17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[5]赵栋,朱晓峰,孔令宇.基于Web的健身房管理系统设计与实现[J].北京印刷学院学报,2022,30(09):65-69.DOI:10.19461/j.cnki.1004-8626.2022.09.009.</w:t>
            </w:r>
          </w:p>
          <w:p w14:paraId="59642FB0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[6]娄有全.郑州市健身房个性化智慧服务发展路径研究[D].</w:t>
            </w:r>
            <w:r>
              <w:rPr>
                <w:rFonts w:hint="eastAsia" w:ascii="宋体" w:cs="Times New Roman"/>
                <w:szCs w:val="21"/>
                <w:lang w:val="en-US" w:eastAsia="zh-CN"/>
              </w:rPr>
              <w:t>郑州:</w: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河南农业大学,2022.DOI:10.27117/d.cnki.ghenu.2022.000198.</w:t>
            </w:r>
          </w:p>
          <w:p w14:paraId="3F4739E4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[7]万佳慧,钟丽萍,刘建武,等.科技助力智能健身：发展机遇、实践经验与案例启示——基于乐刻运动的分析[J].浙江体育科学,2022,44(02):37-42.</w:t>
            </w:r>
          </w:p>
          <w:p w14:paraId="4F54B521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[8]罗超.基于java的健身房管理系统关键技术研究[J].信息记录材料,2019,20(08):159-160.DOI:10.16009/j.cnki.cn13-1295/tq.2019.08.105.</w:t>
            </w:r>
          </w:p>
          <w:p w14:paraId="7B56E0E0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[9]马村.服务设计视域下健身房系统设计研究[D].</w:t>
            </w:r>
            <w:r>
              <w:rPr>
                <w:rFonts w:hint="eastAsia" w:ascii="宋体" w:cs="Times New Roman"/>
                <w:szCs w:val="21"/>
                <w:lang w:val="en-US" w:eastAsia="zh-CN"/>
              </w:rPr>
              <w:t>长沙:</w: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中南林业科技大学,2019.</w:t>
            </w:r>
          </w:p>
          <w:p w14:paraId="5C8BB047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[10]郑宇轩.健身房服务流程体验设计[D].</w:t>
            </w:r>
            <w:r>
              <w:rPr>
                <w:rFonts w:hint="eastAsia" w:ascii="宋体" w:cs="Times New Roman"/>
                <w:szCs w:val="21"/>
                <w:lang w:val="en-US" w:eastAsia="zh-CN"/>
              </w:rPr>
              <w:t>济南:</w: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山东建筑大学,2019.</w:t>
            </w:r>
          </w:p>
          <w:p w14:paraId="26BA9E6E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[11]Journal | [J] </w: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instrText xml:space="preserve"> HYPERLINK "https://scholar.cnki.net/journal/index/SJWD153086770889" \t "https://kns.cnki.net/kcms2/article/_blank" </w:instrTex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Wireless Communications and Mobile Computing.</w:t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Times New Roman" w:eastAsia="宋体" w:cs="Times New Roman"/>
                <w:szCs w:val="21"/>
                <w:lang w:val="en-US" w:eastAsia="zh-CN"/>
              </w:rPr>
              <w:t> Volume 2022 , Issue . 2022</w:t>
            </w:r>
          </w:p>
          <w:p w14:paraId="62D539D6">
            <w:pPr>
              <w:numPr>
                <w:ilvl w:val="0"/>
                <w:numId w:val="0"/>
              </w:numPr>
              <w:tabs>
                <w:tab w:val="left" w:pos="420"/>
              </w:tabs>
              <w:spacing w:line="360" w:lineRule="exact"/>
              <w:ind w:leftChars="0"/>
              <w:jc w:val="left"/>
              <w:rPr>
                <w:rFonts w:hint="eastAsia" w:ascii="宋体" w:hAnsi="Times New Roman" w:eastAsia="宋体" w:cs="Times New Roman"/>
                <w:sz w:val="24"/>
              </w:rPr>
            </w:pPr>
          </w:p>
        </w:tc>
      </w:tr>
      <w:tr w14:paraId="53D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0" w:hRule="atLeast"/>
          <w:jc w:val="center"/>
        </w:trPr>
        <w:tc>
          <w:tcPr>
            <w:tcW w:w="91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3469FE">
            <w:pPr>
              <w:spacing w:before="312" w:beforeLines="100" w:after="100" w:afterAutospacing="1"/>
              <w:jc w:val="center"/>
              <w:rPr>
                <w:rFonts w:hint="eastAsia" w:ascii="Times New Roman" w:hAnsi="Times New Roman" w:eastAsia="宋体" w:cs="Times New Roman"/>
                <w:b/>
                <w:sz w:val="24"/>
              </w:rPr>
            </w:pPr>
            <w:r>
              <w:rPr>
                <w:sz w:val="4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1377315</wp:posOffset>
                  </wp:positionH>
                  <wp:positionV relativeFrom="paragraph">
                    <wp:posOffset>344805</wp:posOffset>
                  </wp:positionV>
                  <wp:extent cx="977900" cy="402590"/>
                  <wp:effectExtent l="0" t="0" r="12700" b="8890"/>
                  <wp:wrapNone/>
                  <wp:docPr id="3" name="图片 3" descr="2025-11-11_22-41-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025-11-11_22-41-1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570865" y="-179705"/>
                            <a:ext cx="977900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348B664">
            <w:pPr>
              <w:spacing w:before="312" w:beforeLines="100" w:after="100" w:afterAutospacing="1"/>
              <w:jc w:val="center"/>
              <w:rPr>
                <w:rFonts w:ascii="宋体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 xml:space="preserve">学生确认签字 ________________                   </w:t>
            </w:r>
            <w:r>
              <w:rPr>
                <w:rFonts w:ascii="Times New Roman" w:hAnsi="Times New Roman" w:eastAsia="宋体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2025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年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 11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月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 1</w:t>
            </w:r>
            <w:r>
              <w:rPr>
                <w:rFonts w:hint="eastAsia" w:cs="Times New Roman"/>
                <w:b/>
                <w:sz w:val="24"/>
                <w:u w:val="single"/>
                <w:lang w:val="en-US" w:eastAsia="zh-CN"/>
              </w:rPr>
              <w:t>3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日</w:t>
            </w:r>
          </w:p>
        </w:tc>
      </w:tr>
    </w:tbl>
    <w:p w14:paraId="49A2A7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000002"/>
    <w:multiLevelType w:val="singleLevel"/>
    <w:tmpl w:val="0000000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94FC3"/>
    <w:rsid w:val="11794FC3"/>
    <w:rsid w:val="1A4E6B46"/>
    <w:rsid w:val="23256CB7"/>
    <w:rsid w:val="284701FB"/>
    <w:rsid w:val="2B110340"/>
    <w:rsid w:val="31817A46"/>
    <w:rsid w:val="34F110E0"/>
    <w:rsid w:val="363624CF"/>
    <w:rsid w:val="3FEE42F3"/>
    <w:rsid w:val="42026F12"/>
    <w:rsid w:val="44F92736"/>
    <w:rsid w:val="47C93E63"/>
    <w:rsid w:val="50033E4B"/>
    <w:rsid w:val="507F18FF"/>
    <w:rsid w:val="523A073B"/>
    <w:rsid w:val="6EBD693E"/>
    <w:rsid w:val="77AF566A"/>
    <w:rsid w:val="79507314"/>
    <w:rsid w:val="7AF8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50" w:beforeLines="150" w:beforeAutospacing="0" w:after="150" w:afterLines="150" w:afterAutospacing="0" w:line="360" w:lineRule="auto"/>
      <w:jc w:val="center"/>
      <w:outlineLvl w:val="0"/>
    </w:pPr>
    <w:rPr>
      <w:rFonts w:eastAsia="黑体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50" w:beforeLines="150" w:after="150" w:afterLines="150" w:line="360" w:lineRule="auto"/>
      <w:jc w:val="both"/>
      <w:outlineLvl w:val="1"/>
    </w:pPr>
    <w:rPr>
      <w:rFonts w:ascii="Arial" w:hAnsi="Arial" w:eastAsia="黑体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50" w:beforeLines="150" w:beforeAutospacing="0" w:after="150" w:afterLines="150" w:afterAutospacing="0" w:line="360" w:lineRule="auto"/>
      <w:outlineLvl w:val="2"/>
    </w:pPr>
    <w:rPr>
      <w:rFonts w:eastAsia="黑体" w:asciiTheme="minorAscii" w:hAnsiTheme="minorAscii"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qFormat/>
    <w:uiPriority w:val="0"/>
    <w:pPr>
      <w:spacing w:before="200" w:beforeLines="200" w:beforeAutospacing="0" w:after="100" w:afterLines="100" w:afterAutospacing="0"/>
      <w:ind w:left="1155" w:leftChars="300" w:hanging="525" w:hangingChars="250"/>
      <w:jc w:val="left"/>
      <w:outlineLvl w:val="0"/>
    </w:pPr>
    <w:rPr>
      <w:rFonts w:ascii="Arial" w:hAnsi="Arial" w:eastAsia="黑体"/>
      <w:b/>
      <w:sz w:val="36"/>
      <w:u w:val="single"/>
    </w:rPr>
  </w:style>
  <w:style w:type="paragraph" w:customStyle="1" w:styleId="8">
    <w:name w:val="参考文献"/>
    <w:basedOn w:val="1"/>
    <w:next w:val="1"/>
    <w:qFormat/>
    <w:uiPriority w:val="0"/>
    <w:pPr>
      <w:keepNext/>
      <w:keepLines/>
      <w:spacing w:before="50" w:beforeLines="50" w:after="50" w:afterLines="50" w:line="360" w:lineRule="auto"/>
      <w:ind w:firstLine="0" w:firstLineChars="0"/>
      <w:jc w:val="center"/>
      <w:outlineLvl w:val="0"/>
    </w:pPr>
    <w:rPr>
      <w:rFonts w:hint="default" w:eastAsia="黑体" w:asciiTheme="minorAscii" w:hAnsiTheme="minorAscii"/>
      <w:b/>
      <w:kern w:val="44"/>
      <w:sz w:val="28"/>
    </w:rPr>
  </w:style>
  <w:style w:type="paragraph" w:customStyle="1" w:styleId="9">
    <w:name w:val="摘要"/>
    <w:basedOn w:val="1"/>
    <w:qFormat/>
    <w:uiPriority w:val="0"/>
    <w:pPr>
      <w:snapToGrid w:val="0"/>
      <w:spacing w:before="50" w:beforeLines="50" w:after="50" w:afterLines="50" w:line="360" w:lineRule="auto"/>
      <w:ind w:left="1155" w:leftChars="300" w:hanging="525" w:hangingChars="250"/>
      <w:jc w:val="center"/>
      <w:outlineLvl w:val="0"/>
    </w:pPr>
    <w:rPr>
      <w:rFonts w:hint="eastAsia" w:ascii="Arial" w:hAnsi="Arial" w:eastAsia="黑体"/>
      <w:b/>
      <w:sz w:val="30"/>
      <w:u w:val="single"/>
    </w:rPr>
  </w:style>
  <w:style w:type="paragraph" w:customStyle="1" w:styleId="10">
    <w:name w:val="摘要正文"/>
    <w:basedOn w:val="9"/>
    <w:qFormat/>
    <w:uiPriority w:val="0"/>
    <w:pPr>
      <w:spacing w:before="200" w:beforeLines="200" w:after="100" w:afterLines="100"/>
      <w:ind w:left="0" w:leftChars="0" w:firstLine="723" w:firstLineChars="200"/>
      <w:jc w:val="both"/>
      <w:outlineLvl w:val="9"/>
    </w:pPr>
    <w:rPr>
      <w:rFonts w:hint="default" w:ascii="Times New Roman" w:hAnsi="Times New Roman" w:eastAsia="宋体"/>
      <w:sz w:val="24"/>
    </w:rPr>
  </w:style>
  <w:style w:type="paragraph" w:customStyle="1" w:styleId="11">
    <w:name w:val="关键字内容"/>
    <w:basedOn w:val="1"/>
    <w:qFormat/>
    <w:uiPriority w:val="0"/>
    <w:pPr>
      <w:spacing w:before="200" w:beforeLines="200" w:after="100" w:afterLines="100" w:line="360" w:lineRule="auto"/>
      <w:ind w:left="1155" w:leftChars="300" w:firstLine="723" w:firstLineChars="200"/>
      <w:jc w:val="both"/>
      <w:outlineLvl w:val="9"/>
    </w:pPr>
    <w:rPr>
      <w:rFonts w:ascii="Times New Roman" w:hAnsi="Times New Roman" w:eastAsia="宋体"/>
      <w:sz w:val="24"/>
      <w:u w:val="single"/>
    </w:rPr>
  </w:style>
  <w:style w:type="character" w:customStyle="1" w:styleId="12">
    <w:name w:val="报告 标题一"/>
    <w:qFormat/>
    <w:uiPriority w:val="0"/>
    <w:rPr>
      <w:rFonts w:ascii="Times New Roman" w:hAnsi="Times New Roman" w:eastAsia="宋体" w:cs="Times New Roman"/>
      <w:b/>
      <w:kern w:val="2"/>
      <w:sz w:val="36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3351</Words>
  <Characters>4536</Characters>
  <Lines>0</Lines>
  <Paragraphs>0</Paragraphs>
  <TotalTime>7</TotalTime>
  <ScaleCrop>false</ScaleCrop>
  <LinksUpToDate>false</LinksUpToDate>
  <CharactersWithSpaces>4767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2025-11-12T13:13:00Z</dcterms:created>
  <dc:creator>胚芽鞘</dc:creator>
  <cp:lastModifiedBy>胚芽鞘</cp:lastModifiedBy>
  <dcterms:modified xsi:type="dcterms:W3CDTF">2025-11-12T13:24:39Z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7259F7B427B54DCEB25C946DC9F86EA9_13</vt:lpwstr>
  </property>
  <property fmtid="{D5CDD505-2E9C-101B-9397-08002B2CF9AE}" pid="4" name="KSOTemplateDocerSaveRecord">
    <vt:lpwstr>eyJoZGlkIjoiNGU5YTk2NWU3OTRhNTU0YjZlNWE0ODExMjY4YzM0MTgiLCJ1c2VySWQiOiIxNDMzNzE1ODg3In0=</vt:lpwstr>
  </property>
</Properties>
</file>