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1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8306"/>
      </w:tblGrid>
      <w:tr w14:paraId="19B10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46D64D">
            <w:pPr>
              <w:spacing w:before="100" w:beforeAutospacing="1" w:after="100" w:afterAutospacing="1" w:line="400" w:lineRule="exact"/>
              <w:ind w:left="-105" w:leftChars="-50" w:right="-122" w:rightChars="-58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主要</w:t>
            </w:r>
          </w:p>
          <w:p w14:paraId="32367B4D">
            <w:pPr>
              <w:spacing w:before="100" w:beforeAutospacing="1" w:after="100" w:afterAutospacing="1" w:line="400" w:lineRule="exact"/>
              <w:ind w:left="-105" w:leftChars="-50" w:right="-122" w:rightChars="-58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研究</w:t>
            </w:r>
          </w:p>
          <w:p w14:paraId="6202C501">
            <w:pPr>
              <w:spacing w:before="100" w:beforeAutospacing="1" w:after="100" w:afterAutospacing="1" w:line="400" w:lineRule="exact"/>
              <w:ind w:left="-105" w:leftChars="-50" w:right="-122" w:rightChars="-58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内容</w:t>
            </w:r>
          </w:p>
          <w:p w14:paraId="71951F3B">
            <w:pPr>
              <w:spacing w:before="100" w:beforeAutospacing="1" w:after="100" w:afterAutospacing="1" w:line="400" w:lineRule="exact"/>
              <w:ind w:left="-105" w:leftChars="-50" w:right="-122" w:rightChars="-58"/>
              <w:jc w:val="center"/>
              <w:rPr>
                <w:rFonts w:ascii="宋体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要求</w:t>
            </w:r>
          </w:p>
        </w:tc>
        <w:tc>
          <w:tcPr>
            <w:tcW w:w="8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F45AF7">
            <w:pPr>
              <w:spacing w:before="156" w:beforeLines="50" w:after="156" w:afterLines="50" w:line="360" w:lineRule="auto"/>
              <w:rPr>
                <w:rFonts w:hint="eastAsia" w:ascii="宋体" w:hAnsi="宋体" w:eastAsia="宋体" w:cs="宋体"/>
                <w:b/>
                <w:bCs/>
                <w:sz w:val="24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1"/>
              </w:rPr>
              <w:t>主要研究内容及指标要求：</w:t>
            </w:r>
          </w:p>
          <w:p w14:paraId="797DF2AD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b/>
                <w:bCs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</w:rPr>
              <w:t>主要研究内容：</w:t>
            </w:r>
          </w:p>
          <w:p w14:paraId="67435DAD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本课题旨在设计并实现一套智能健身系统，通过前端 PC 端系统（用户与教练使用）与后端管理系统（管理员使用）相结合，为健身房会员提供便捷的自助服务，并为健身房管理者提供高效的运营工具。</w:t>
            </w:r>
          </w:p>
          <w:p w14:paraId="4AB5B3B1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（一）用户 / 教练 PC 端系统功能实现</w:t>
            </w:r>
          </w:p>
          <w:p w14:paraId="1E5A5E04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核心服务（会员）：深入研究会员自助服务的完整闭环。办卡环节实现健身卡（如月卡、季卡、次卡）的在线浏览、选购、下单及支付功能，购课功能开发私教课程和公共课程的展示、筛选（按教练、按时间、按课程类型）、购买及支付功能。约课功能实现会员对已购课程的预约，包括查看教练可用时间表、选择时间段、提交预约并等待教练确认（或系统自动确认）。</w:t>
            </w:r>
          </w:p>
          <w:p w14:paraId="0D6F519A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核心服务（教练）：登录与排班模块设置教练专属登录通道，实现个人排班管理，教练可查看（日 / 周视图）个人课表，并可（有限度地）设置可被预约的时间。预约管理模块支持教练查看学员的预约申请，执行 “确认” 或 “拒绝” 操作，且能查看已确认的学员列表。课程核销是关键业务点，实现教练对已完成课程的在线核销，教练在学员上课完毕后，在系统中点击 “确认核销”，系统将扣除学员对应课时。</w:t>
            </w:r>
          </w:p>
          <w:p w14:paraId="069C1DAD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入场与核销机制：入场环节设计无感（或弱感）流程，会员在前台报手机号后四位，系统调出匹配会员，前台管理员通过</w:t>
            </w: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获取办卡会员录入的人脸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进行人脸比对，核验会员身份及健身卡状态后，系统记录入场。</w:t>
            </w:r>
          </w:p>
          <w:p w14:paraId="0DF375C9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4.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个人中心：会员可查看与修改个人信息（昵称、头像），查询个人健身卡状态（有效期、剩余次数），管理课程订单（已购、待支付），查看与取消预约记录（待进行、已完成、已取消）。教练可进行个人信息管理、查询历史授课记录、管理学员（查看学员列表及其课程剩余情况）等。</w:t>
            </w:r>
          </w:p>
          <w:p w14:paraId="50BA40EA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5.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智能交互（亮点功能）：AI 助手集成智能聊天功能，前端实现一个 WebSocket 或 HTTP 轮询的聊天窗口，后端对接第三方大语言模型 API（如 Kimi、Gemini 等）或自建基于 RAG（检索增强生成）的知识库，为用户提供 7x24 小时的健身房规则、课程价格、教练介绍等基础问题的自动问答服务。</w:t>
            </w:r>
          </w:p>
          <w:p w14:paraId="078585CC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（二）管理层后台 PC 系统开发</w:t>
            </w:r>
          </w:p>
          <w:p w14:paraId="64AF1588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基础信息管理：通过 CRUD 操作实现健身房基本信息（名称、地址、联系方式）、会员信息（含人脸特征值管理）、教练信息（简介、资质、照片）、私教 / 公共课（详情、价格、库存）、健身卡类型（价格、有效期、权益）以及首页轮播图（排序、上下架）的完整管理界面。</w:t>
            </w:r>
          </w:p>
          <w:p w14:paraId="2A911CF7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业务控制：入场监控实现会员入场核验的辅助界面，管理员可查看人脸比对结果并进行手动放行操作。课程管理要求教练上架新课程后，需由管理员审核通过方可展示在前台。状态管理模块支持管理员手动调整会员状态、核销课程、管理器械与更衣室（可选功能）的使用状态。</w:t>
            </w:r>
          </w:p>
          <w:p w14:paraId="430EB728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（三）核心算法与机制设计</w:t>
            </w:r>
          </w:p>
          <w:p w14:paraId="7820D5FC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预约与调度算法：冲突检测设计并实现高效的时间范围冲突检测算法，当会员提交预约（时间范围 [StartA, EndA]）时，系统必须检查该时段与教练已有的所有预约（[StartB, EndB]）是否存在重叠，重叠条件为（StartA &lt; EndB）AND（EndA &gt; StartB），此检查需在数据库层面（如使用查询）和 / 或应用层面实现，并考虑并发预约时的锁机制。</w:t>
            </w:r>
          </w:p>
          <w:p w14:paraId="4FF3E890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状态管理机制：会员状态机设计明确的会员状态机（如普通会员、VIP 会员），例如当会员首次购买私教课时，状态自动从普通会员升级为 VIP 会员，当 VIP 会员的私教课时数为 0 时，自动降级为普通会员，此逻辑可通过数据库触发器或应用层的事件监听器（如监听订单支付成功事件）实现。</w:t>
            </w:r>
          </w:p>
          <w:p w14:paraId="04459B37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</w:rPr>
              <w:t>（四）系统架构与数据设计</w:t>
            </w:r>
          </w:p>
          <w:p w14:paraId="5A1DB584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架构选型：前后端分离确定采用前后端分离架构，后端使用 Spring Boot + Spring Security + MyBatisPlus + MySQL + Redis，前端使用 Vue 3 + Element Plus，并构建为两个独立的 SPA（单页应用）项目，一个用于用户 / 教练，一个用于管理后台。模块划分要求后端按业务逻辑清晰划分模块（如 auth、user、course、booking、order、dashboard）。</w:t>
            </w:r>
          </w:p>
          <w:p w14:paraId="3D39F6C5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4.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数据存储设计：MySQL 需进行详细的数据库概念设计与逻辑设计，输出 E-R 图，重点设计 users（含 role 字段）、coaches、classes（课程）、gym_cards（健身卡）、orders（订单）、order_items（订单详情）、bookings（预约表）等核心表，明确表间关系（一对多、多对多）。Redis 制定缓存策略，例如使用 String 类型缓存 ECharts 报表聚合结果（定时刷新），使用 Hash 类型缓存热点课程的库存信息，使用 ZSet 缓存教练的时间表，使用 String 缓存 JWT Token（用于黑名单或续签）。</w:t>
            </w:r>
          </w:p>
          <w:p w14:paraId="087ED2A5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  <w:lang w:val="en-US" w:eastAsia="zh-CN"/>
              </w:rPr>
              <w:t>5.</w:t>
            </w:r>
            <w:r>
              <w:rPr>
                <w:rFonts w:hint="default" w:ascii="宋体" w:hAnsi="宋体" w:eastAsia="宋体" w:cs="宋体"/>
                <w:sz w:val="24"/>
                <w:szCs w:val="21"/>
              </w:rPr>
              <w:t>接口规范设计：RESTful API 严格遵循 RESTful 风格设计 API，使用 HTTP 动词（GET、POST、PUT、DELETE）表示操作，使用名词（如 /users、/courses）表示资源。统一响应设计全局统一的 JSON 响应体格式，例如 {"code": 0, "message": "success", "data": {...} } 或 { "code": 4001, "message": "Invalid parameter", "data": null }。</w:t>
            </w:r>
          </w:p>
          <w:p w14:paraId="4ABFE471">
            <w:pPr>
              <w:spacing w:line="400" w:lineRule="atLeast"/>
              <w:ind w:firstLine="480" w:firstLineChars="200"/>
              <w:rPr>
                <w:rFonts w:hint="eastAsia" w:ascii="宋体" w:hAnsi="宋体" w:cs="宋体"/>
                <w:sz w:val="24"/>
                <w:szCs w:val="21"/>
              </w:rPr>
            </w:pPr>
            <w:r>
              <w:rPr>
                <w:rFonts w:hint="eastAsia" w:ascii="宋体" w:hAnsi="宋体" w:cs="宋体"/>
                <w:sz w:val="24"/>
                <w:szCs w:val="21"/>
              </w:rPr>
              <w:t>指标要求：</w:t>
            </w:r>
          </w:p>
          <w:p w14:paraId="73187BAE">
            <w:pPr>
              <w:spacing w:line="400" w:lineRule="atLeast"/>
              <w:ind w:firstLine="42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</w:t>
            </w: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一）功能性指标</w:t>
            </w:r>
          </w:p>
          <w:p w14:paraId="02A3DF21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覆盖率必须 100% 覆盖 “项目功能优先级与详细分解.docx” 中第一、二优先级的核心功能。流程完整性要求核心业务流程（办卡 -&gt; 入场 -&gt; 购课 -&gt; 约课 -&gt; 核销）必须形成数据和操作上的完整闭环，不允许流程中断。准确率方面，课程预约（含冲突检测）冲突率必须为 0%，ECharts 可视化报表数据与数据库源数据必须 100% 一致，AI 聊天助手对预设知识库内问题（如课程价格）的回答准确率≥90%。</w:t>
            </w:r>
          </w:p>
          <w:p w14:paraId="588A52A9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（二）性能指标</w:t>
            </w:r>
          </w:p>
          <w:p w14:paraId="460575BA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响应时间要求核心接口（/login、/auth/checkin（入场核验）、/bookings/create（预约）、/orders/create（创单））在 300 并发用户数下的平均响应时间（Avg RT）必须≤800ms。并发能力要求系统需通过 JMeter 等工具的压力测试，必须支持≥300 个并发用户（QPS）同时进行混合操作（登录、浏览、预约）的场景。加载时间方面，前端 PC 页面（用户 / 教练端、管理后台）首次加载时间≤2 秒，管理后台 ECharts 报表（中等数据量，如 1000 条记录）的渲染完成时间≤3 秒。</w:t>
            </w:r>
          </w:p>
          <w:p w14:paraId="2C801BC4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（三）可靠性指标</w:t>
            </w:r>
          </w:p>
          <w:p w14:paraId="3963964D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稳定性要求系统在部署后，7×24 小时稳定运行，平均无故障时间（MTBF）≥360 小时（即在最终测试周内无重大宕机）。数据一致性要求在模拟异常场景（如网络中断、服务器重启、Redis 宕机）下，必须保证核心数据（特别是订单状态、课时余额）的一致性，例如支付回调处理必须是幂等的，课时核销必须与预约记录强关联。</w:t>
            </w:r>
          </w:p>
          <w:p w14:paraId="6DF7C612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（四）安全性指标</w:t>
            </w:r>
          </w:p>
          <w:p w14:paraId="2DE2EBC1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鉴权与授权必须采用 JWT（或 Token）机制，所有 API 接口（除登录注册等白名单接口）必须进行 Token 校验，必须实现严格的角色权限控制（RBAC），例如会员不能调用教练或管理员的 API，否则返回 403 Forbidden。数据安全要求用户敏感信息（手机号、人脸特征值）在数据库中必须加密存储（如使用 AES），用户密码必须使用 bcrypt 等加盐哈希算法存储，不可明文。防攻击要求系统必须通过基础的安全测试，能有效防止 SQL 注入（使用 MyBatis/JPA 可天然防范）、XSS 跨站脚本攻击（前端对输出内容进行转义）、CSRF（后端校验 Referer 或使用 Token）、越权访问（严格校验操作数据是否属于当前用户）。</w:t>
            </w:r>
          </w:p>
          <w:p w14:paraId="13B9DA21">
            <w:pPr>
              <w:spacing w:line="400" w:lineRule="atLeast"/>
              <w:ind w:firstLine="480" w:firstLineChars="200"/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（五）用户体验指标</w:t>
            </w:r>
          </w:p>
          <w:p w14:paraId="4D0A9A35">
            <w:pPr>
              <w:spacing w:line="400" w:lineRule="atLeast"/>
              <w:ind w:firstLine="480" w:firstLineChars="200"/>
              <w:rPr>
                <w:rFonts w:hint="eastAsia" w:ascii="宋体" w:hAnsi="宋体" w:eastAsia="宋体" w:cs="宋体"/>
                <w:sz w:val="24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1"/>
                <w:lang w:val="en-US" w:eastAsia="zh-CN"/>
              </w:rPr>
              <w:t>操作流程要求用户 / 教练端的核心操作（如 “登录” 到 “成功预约一节课”、“登录” 到 “成功购买一张卡”）的点击步骤不超过 4 步。界面规范要求界面设计简洁易用，符合 PC 端 Web 设计规范（如使用 Element Plus/Ant Design 的栅格系统、统一的色彩和字体规范），在主流浏览器（Chrome、Firefox）上无明显布局错乱。数据延迟要求管理后台 ECharts 数据看板的数据延迟（T+1 或准实时）≤5 分钟，AI 聊天助手首包响应时间≤3 秒。</w:t>
            </w:r>
          </w:p>
          <w:p w14:paraId="7D4F1C60">
            <w:pPr>
              <w:rPr>
                <w:rFonts w:ascii="Times New Roman" w:hAnsi="Times New Roman" w:eastAsia="宋体" w:cs="Times New Roman"/>
                <w:sz w:val="24"/>
              </w:rPr>
            </w:pPr>
          </w:p>
        </w:tc>
      </w:tr>
      <w:tr w14:paraId="2FDD3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09EFA"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b/>
                <w:sz w:val="24"/>
              </w:rPr>
            </w:pPr>
          </w:p>
          <w:p w14:paraId="44E25DE8"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进度</w:t>
            </w:r>
          </w:p>
          <w:p w14:paraId="6415CDB7">
            <w:pPr>
              <w:spacing w:before="100" w:beforeAutospacing="1" w:after="100" w:afterAutospacing="1"/>
              <w:jc w:val="center"/>
              <w:rPr>
                <w:rFonts w:ascii="宋体" w:hAnsi="Times New Roman" w:eastAsia="宋体" w:cs="宋体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计划</w:t>
            </w:r>
          </w:p>
        </w:tc>
        <w:tc>
          <w:tcPr>
            <w:tcW w:w="8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tbl>
            <w:tblPr>
              <w:tblStyle w:val="6"/>
              <w:tblW w:w="4999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73"/>
              <w:gridCol w:w="4505"/>
            </w:tblGrid>
            <w:tr w14:paraId="2370A3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C70BA25">
                  <w:pPr>
                    <w:rPr>
                      <w:rFonts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起止日期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A386F45">
                  <w:pPr>
                    <w:rPr>
                      <w:rFonts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主要内容</w:t>
                  </w:r>
                </w:p>
              </w:tc>
            </w:tr>
            <w:tr w14:paraId="2B8684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EB8F240">
                  <w:pPr>
                    <w:rPr>
                      <w:rFonts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2025年11月20日至2025年12月24日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7ADB54E7">
                  <w:pPr>
                    <w:rPr>
                      <w:rFonts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查阅相关文献资料，明确研究内容，完成外文翻译、文献综述和开题报告。</w:t>
                  </w:r>
                </w:p>
              </w:tc>
            </w:tr>
            <w:tr w14:paraId="1C18E1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4136E6BC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2025年12月25日至2026年1月21日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CD44140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做好开题答辩准备，完成开题答辩。</w:t>
                  </w:r>
                </w:p>
              </w:tc>
            </w:tr>
            <w:tr w14:paraId="7436F9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B8CCC3D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2026年1月22日至2026年3月11日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5539EF56">
                  <w:pPr>
                    <w:numPr>
                      <w:ilvl w:val="0"/>
                      <w:numId w:val="1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系统开发完成达50%；</w:t>
                  </w:r>
                </w:p>
                <w:p w14:paraId="093C51CC">
                  <w:pPr>
                    <w:numPr>
                      <w:ilvl w:val="0"/>
                      <w:numId w:val="1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论文撰写完成前三章；</w:t>
                  </w:r>
                </w:p>
                <w:p w14:paraId="0BC8C680">
                  <w:pPr>
                    <w:numPr>
                      <w:ilvl w:val="0"/>
                      <w:numId w:val="1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准备中期检查材料，接受教研室及学院的中期检查。</w:t>
                  </w:r>
                </w:p>
              </w:tc>
            </w:tr>
            <w:tr w14:paraId="4F5AF2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7EC547D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2026年3月12日至2026年4月30日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76F7BA1F">
                  <w:pPr>
                    <w:numPr>
                      <w:ilvl w:val="0"/>
                      <w:numId w:val="2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系统开发全部完成；</w:t>
                  </w:r>
                </w:p>
                <w:p w14:paraId="2B0FDCBC">
                  <w:pPr>
                    <w:numPr>
                      <w:ilvl w:val="0"/>
                      <w:numId w:val="2"/>
                    </w:num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论文定稿，并查重。</w:t>
                  </w:r>
                </w:p>
              </w:tc>
            </w:tr>
            <w:tr w14:paraId="75EEF7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52B45765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2026年5月6日至2026年5月14日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24D2A351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接受指导老师评阅、评阅老师盲审、督导检查，并对反馈的意见进行修改。</w:t>
                  </w:r>
                </w:p>
              </w:tc>
            </w:tr>
            <w:tr w14:paraId="4158AB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8D2FDA8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2026年5月15日至2026年5月27日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3077F553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准备答辩资料，参加毕业设计答辩。</w:t>
                  </w:r>
                </w:p>
              </w:tc>
            </w:tr>
            <w:tr w14:paraId="41D26E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5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BC0E2D1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2026年5月28日至2026年6月15日</w:t>
                  </w:r>
                </w:p>
              </w:tc>
              <w:tc>
                <w:tcPr>
                  <w:tcW w:w="45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469EF4E5">
                  <w:pPr>
                    <w:rPr>
                      <w:rFonts w:hint="eastAsia" w:ascii="宋体" w:hAnsi="Times New Roman" w:eastAsia="宋体" w:cs="Times New Roman"/>
                      <w:sz w:val="24"/>
                    </w:rPr>
                  </w:pPr>
                  <w:r>
                    <w:rPr>
                      <w:rFonts w:hint="eastAsia" w:ascii="宋体" w:hAnsi="Times New Roman" w:eastAsia="宋体" w:cs="Times New Roman"/>
                      <w:sz w:val="24"/>
                    </w:rPr>
                    <w:t>对毕业设计期间的资料进行归档。</w:t>
                  </w:r>
                </w:p>
              </w:tc>
            </w:tr>
          </w:tbl>
          <w:p w14:paraId="61066C90">
            <w:pPr>
              <w:rPr>
                <w:rFonts w:ascii="宋体" w:hAnsi="Times New Roman" w:eastAsia="宋体" w:cs="Times New Roman"/>
                <w:sz w:val="24"/>
              </w:rPr>
            </w:pPr>
          </w:p>
        </w:tc>
      </w:tr>
      <w:tr w14:paraId="4F024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2" w:hRule="atLeast"/>
          <w:jc w:val="center"/>
        </w:trPr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86E824"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主要参考文献</w:t>
            </w:r>
          </w:p>
        </w:tc>
        <w:tc>
          <w:tcPr>
            <w:tcW w:w="8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F9EC82">
            <w:pPr>
              <w:numPr>
                <w:ilvl w:val="0"/>
                <w:numId w:val="3"/>
              </w:numPr>
              <w:tabs>
                <w:tab w:val="left" w:pos="420"/>
                <w:tab w:val="clear" w:pos="0"/>
              </w:tabs>
              <w:spacing w:line="360" w:lineRule="exact"/>
              <w:jc w:val="left"/>
              <w:rPr>
                <w:rFonts w:hint="eastAsia" w:ascii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  <w:lang w:val="en-US" w:eastAsia="zh-CN"/>
              </w:rPr>
              <w:t>周玉光,赵海涛,樊继慧,等.基于SpringBoot的消防站健身房系统建设[J].电脑知识与技术,2024,20(17):75-77.DOI:10.14004/j.cnki.ckt.2024.0927.</w:t>
            </w:r>
          </w:p>
          <w:p w14:paraId="648442B5">
            <w:pPr>
              <w:numPr>
                <w:ilvl w:val="0"/>
                <w:numId w:val="3"/>
              </w:numPr>
              <w:tabs>
                <w:tab w:val="left" w:pos="420"/>
                <w:tab w:val="clear" w:pos="0"/>
              </w:tabs>
              <w:spacing w:line="360" w:lineRule="exact"/>
              <w:jc w:val="left"/>
              <w:rPr>
                <w:rFonts w:hint="eastAsia" w:ascii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  <w:lang w:val="en-US" w:eastAsia="zh-CN"/>
              </w:rPr>
              <w:t>董玫方.L健身房营销策略优化研究[D].上海:华东师范大学,2023.DOI:10.27149/d.cnki.ghdsu.2023.004314.</w:t>
            </w:r>
          </w:p>
          <w:p w14:paraId="68534E98">
            <w:pPr>
              <w:numPr>
                <w:ilvl w:val="0"/>
                <w:numId w:val="3"/>
              </w:numPr>
              <w:tabs>
                <w:tab w:val="left" w:pos="420"/>
                <w:tab w:val="clear" w:pos="0"/>
              </w:tabs>
              <w:spacing w:line="360" w:lineRule="exact"/>
              <w:jc w:val="left"/>
              <w:rPr>
                <w:rFonts w:hint="eastAsia" w:ascii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  <w:lang w:val="en-US" w:eastAsia="zh-CN"/>
              </w:rPr>
              <w:t>桑冉航,李晓明.基于Spring Boot的健身房管理系统的设计与实现[J].电脑知识与技术,2023,19(22):54-56.DOI:10.14004/j.cnki.ckt.2023.1239.</w:t>
            </w:r>
          </w:p>
          <w:p w14:paraId="3EDEDB1B">
            <w:pPr>
              <w:numPr>
                <w:ilvl w:val="0"/>
                <w:numId w:val="3"/>
              </w:numPr>
              <w:tabs>
                <w:tab w:val="left" w:pos="420"/>
                <w:tab w:val="clear" w:pos="0"/>
              </w:tabs>
              <w:spacing w:line="360" w:lineRule="exact"/>
              <w:jc w:val="left"/>
              <w:rPr>
                <w:rFonts w:hint="eastAsia" w:ascii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  <w:lang w:val="en-US" w:eastAsia="zh-CN"/>
              </w:rPr>
              <w:t>张佳锦.自助式健身房服务设计研究[D].沈阳:沈阳航空航天大学,2023.DOI:10.27324/d.cnki.gshkc.2023.000460.</w:t>
            </w:r>
          </w:p>
          <w:p w14:paraId="2790BE17">
            <w:pPr>
              <w:numPr>
                <w:ilvl w:val="0"/>
                <w:numId w:val="3"/>
              </w:numPr>
              <w:tabs>
                <w:tab w:val="left" w:pos="420"/>
                <w:tab w:val="clear" w:pos="0"/>
              </w:tabs>
              <w:spacing w:line="360" w:lineRule="exact"/>
              <w:jc w:val="left"/>
              <w:rPr>
                <w:rFonts w:hint="eastAsia" w:ascii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  <w:lang w:val="en-US" w:eastAsia="zh-CN"/>
              </w:rPr>
              <w:t>赵栋,朱晓峰,孔令宇.基于Web的健身房管理系统设计与实现[J].北京印刷学院学报,2022,30(09):65-69.DOI:10.19461/j.cnki.1004-8626.2022.09.009.</w:t>
            </w:r>
          </w:p>
          <w:p w14:paraId="59642FB0">
            <w:pPr>
              <w:numPr>
                <w:ilvl w:val="0"/>
                <w:numId w:val="3"/>
              </w:numPr>
              <w:tabs>
                <w:tab w:val="left" w:pos="420"/>
                <w:tab w:val="clear" w:pos="0"/>
              </w:tabs>
              <w:spacing w:line="360" w:lineRule="exact"/>
              <w:jc w:val="left"/>
              <w:rPr>
                <w:rFonts w:hint="eastAsia" w:ascii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  <w:lang w:val="en-US" w:eastAsia="zh-CN"/>
              </w:rPr>
              <w:t>娄有全.郑州市健身房个性化智慧服务发展路径研究[D].郑州:河南农业大学,2022.DOI:10.27117/d.cnki.ghenu.2022.000198.</w:t>
            </w:r>
          </w:p>
          <w:p w14:paraId="3F4739E4">
            <w:pPr>
              <w:numPr>
                <w:ilvl w:val="0"/>
                <w:numId w:val="3"/>
              </w:numPr>
              <w:tabs>
                <w:tab w:val="left" w:pos="420"/>
                <w:tab w:val="clear" w:pos="0"/>
              </w:tabs>
              <w:spacing w:line="360" w:lineRule="exact"/>
              <w:jc w:val="left"/>
              <w:rPr>
                <w:rFonts w:hint="eastAsia" w:ascii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  <w:lang w:val="en-US" w:eastAsia="zh-CN"/>
              </w:rPr>
              <w:t>万佳慧,钟丽萍,刘建武,等.科技助力智能健身：发展机遇、实践经验与案例启示——基于乐刻运动的分析[J].浙江体育科学,2022,44(02):37-42.</w:t>
            </w:r>
          </w:p>
          <w:p w14:paraId="4F54B521">
            <w:pPr>
              <w:numPr>
                <w:ilvl w:val="0"/>
                <w:numId w:val="3"/>
              </w:numPr>
              <w:tabs>
                <w:tab w:val="left" w:pos="420"/>
                <w:tab w:val="clear" w:pos="0"/>
              </w:tabs>
              <w:spacing w:line="360" w:lineRule="exact"/>
              <w:jc w:val="left"/>
              <w:rPr>
                <w:rFonts w:hint="eastAsia" w:ascii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  <w:lang w:val="en-US" w:eastAsia="zh-CN"/>
              </w:rPr>
              <w:t>罗超.基于java的健身房管理系统关键技术研究[J].信息记录材料,2019,20(08):159-160.DOI:10.16009/j.cnki.cn13-1295/tq.2019.08.105.</w:t>
            </w:r>
          </w:p>
          <w:p w14:paraId="7B56E0E0">
            <w:pPr>
              <w:numPr>
                <w:ilvl w:val="0"/>
                <w:numId w:val="3"/>
              </w:numPr>
              <w:tabs>
                <w:tab w:val="left" w:pos="420"/>
                <w:tab w:val="clear" w:pos="0"/>
              </w:tabs>
              <w:spacing w:line="360" w:lineRule="exact"/>
              <w:jc w:val="left"/>
              <w:rPr>
                <w:rFonts w:hint="eastAsia" w:ascii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  <w:lang w:val="en-US" w:eastAsia="zh-CN"/>
              </w:rPr>
              <w:t>马村.服务设计视域下健身房系统设计研究[D].长沙:中南林业科技大学,2019.</w:t>
            </w:r>
          </w:p>
          <w:p w14:paraId="5C8BB047">
            <w:pPr>
              <w:numPr>
                <w:ilvl w:val="0"/>
                <w:numId w:val="3"/>
              </w:numPr>
              <w:tabs>
                <w:tab w:val="left" w:pos="420"/>
                <w:tab w:val="clear" w:pos="0"/>
              </w:tabs>
              <w:spacing w:line="360" w:lineRule="exact"/>
              <w:jc w:val="left"/>
              <w:rPr>
                <w:rFonts w:hint="eastAsia" w:ascii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  <w:lang w:val="en-US" w:eastAsia="zh-CN"/>
              </w:rPr>
              <w:t>郑宇轩.健身房服务流程体验设计[D].济南:山东建筑大学,2019.</w:t>
            </w:r>
          </w:p>
          <w:p w14:paraId="62D539D6">
            <w:pPr>
              <w:numPr>
                <w:ilvl w:val="0"/>
                <w:numId w:val="3"/>
              </w:numPr>
              <w:tabs>
                <w:tab w:val="left" w:pos="420"/>
                <w:tab w:val="clear" w:pos="0"/>
              </w:tabs>
              <w:spacing w:line="360" w:lineRule="exact"/>
              <w:jc w:val="left"/>
              <w:rPr>
                <w:rFonts w:hint="eastAsia" w:ascii="宋体" w:hAnsi="Times New Roman" w:eastAsia="宋体" w:cs="Times New Roman"/>
                <w:sz w:val="24"/>
              </w:rPr>
            </w:pPr>
            <w:r>
              <w:rPr>
                <w:rFonts w:hint="eastAsia" w:ascii="宋体"/>
                <w:szCs w:val="21"/>
                <w:lang w:val="en-US" w:eastAsia="zh-CN"/>
              </w:rPr>
              <w:t>Journal | [J] </w:t>
            </w:r>
            <w:r>
              <w:rPr>
                <w:rFonts w:hint="eastAsia" w:ascii="宋体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宋体"/>
                <w:szCs w:val="21"/>
                <w:lang w:val="en-US" w:eastAsia="zh-CN"/>
              </w:rPr>
              <w:instrText xml:space="preserve"> HYPERLINK "https://scholar.cnki.net/journal/index/SJWD153086770889" \t "https://kns.cnki.net/kcms2/article/_blank" </w:instrText>
            </w:r>
            <w:r>
              <w:rPr>
                <w:rFonts w:hint="eastAsia" w:ascii="宋体"/>
                <w:szCs w:val="21"/>
                <w:lang w:val="en-US" w:eastAsia="zh-CN"/>
              </w:rPr>
              <w:fldChar w:fldCharType="separate"/>
            </w:r>
            <w:r>
              <w:rPr>
                <w:rFonts w:hint="eastAsia" w:ascii="宋体"/>
                <w:szCs w:val="21"/>
                <w:lang w:val="en-US" w:eastAsia="zh-CN"/>
              </w:rPr>
              <w:t>Wireless Communications and Mobile Computing.</w:t>
            </w:r>
            <w:r>
              <w:rPr>
                <w:rFonts w:hint="eastAsia" w:ascii="宋体"/>
                <w:szCs w:val="21"/>
                <w:lang w:val="en-US" w:eastAsia="zh-CN"/>
              </w:rPr>
              <w:fldChar w:fldCharType="end"/>
            </w:r>
            <w:r>
              <w:rPr>
                <w:rFonts w:hint="eastAsia" w:ascii="宋体"/>
                <w:szCs w:val="21"/>
                <w:lang w:val="en-US" w:eastAsia="zh-CN"/>
              </w:rPr>
              <w:t> Volume 2022 , Issue . 2022</w:t>
            </w:r>
          </w:p>
        </w:tc>
      </w:tr>
      <w:tr w14:paraId="53D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0" w:hRule="atLeast"/>
          <w:jc w:val="center"/>
        </w:trPr>
        <w:tc>
          <w:tcPr>
            <w:tcW w:w="91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3469FE">
            <w:pPr>
              <w:spacing w:before="312" w:beforeLines="100" w:after="100" w:afterAutospacing="1"/>
              <w:jc w:val="center"/>
              <w:rPr>
                <w:rFonts w:hint="eastAsia" w:ascii="Times New Roman" w:hAnsi="Times New Roman" w:eastAsia="宋体" w:cs="Times New Roman"/>
                <w:b/>
                <w:sz w:val="24"/>
              </w:rPr>
            </w:pPr>
            <w:r>
              <w:rPr>
                <w:sz w:val="4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1377315</wp:posOffset>
                  </wp:positionH>
                  <wp:positionV relativeFrom="paragraph">
                    <wp:posOffset>344805</wp:posOffset>
                  </wp:positionV>
                  <wp:extent cx="977900" cy="402590"/>
                  <wp:effectExtent l="0" t="0" r="12700" b="8890"/>
                  <wp:wrapNone/>
                  <wp:docPr id="3" name="图片 3" descr="2025-11-11_22-41-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025-11-11_22-41-1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570865" y="-179705"/>
                            <a:ext cx="977900" cy="40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348B664">
            <w:pPr>
              <w:spacing w:before="312" w:beforeLines="100" w:after="100" w:afterAutospacing="1"/>
              <w:jc w:val="center"/>
              <w:rPr>
                <w:rFonts w:ascii="宋体" w:hAnsi="Times New Roman" w:eastAsia="宋体" w:cs="宋体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 xml:space="preserve">学生确认签字 ________________                   </w:t>
            </w:r>
            <w:r>
              <w:rPr>
                <w:rFonts w:ascii="Times New Roman" w:hAnsi="Times New Roman" w:eastAsia="宋体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sz w:val="24"/>
                <w:u w:val="single"/>
              </w:rPr>
              <w:t xml:space="preserve">2025 </w:t>
            </w: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年</w:t>
            </w:r>
            <w:r>
              <w:rPr>
                <w:rFonts w:ascii="Times New Roman" w:hAnsi="Times New Roman" w:eastAsia="宋体" w:cs="Times New Roman"/>
                <w:b/>
                <w:sz w:val="24"/>
                <w:u w:val="single"/>
              </w:rPr>
              <w:t xml:space="preserve"> 11 </w:t>
            </w: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月</w:t>
            </w:r>
            <w:r>
              <w:rPr>
                <w:rFonts w:ascii="Times New Roman" w:hAnsi="Times New Roman" w:eastAsia="宋体" w:cs="Times New Roman"/>
                <w:b/>
                <w:sz w:val="24"/>
                <w:u w:val="single"/>
              </w:rPr>
              <w:t xml:space="preserve"> 1</w:t>
            </w:r>
            <w:r>
              <w:rPr>
                <w:rFonts w:hint="eastAsia" w:cs="Times New Roman"/>
                <w:b/>
                <w:sz w:val="24"/>
                <w:u w:val="single"/>
                <w:lang w:val="en-US" w:eastAsia="zh-CN"/>
              </w:rPr>
              <w:t>3</w:t>
            </w:r>
            <w:r>
              <w:rPr>
                <w:rFonts w:ascii="Times New Roman" w:hAnsi="Times New Roman" w:eastAsia="宋体" w:cs="Times New Roman"/>
                <w:b/>
                <w:sz w:val="24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日</w:t>
            </w:r>
          </w:p>
        </w:tc>
      </w:tr>
    </w:tbl>
    <w:p w14:paraId="4B9A88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0000002"/>
    <w:multiLevelType w:val="singleLevel"/>
    <w:tmpl w:val="0000000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0000003"/>
    <w:multiLevelType w:val="singleLevel"/>
    <w:tmpl w:val="00000003"/>
    <w:lvl w:ilvl="0" w:tentative="0">
      <w:start w:val="1"/>
      <w:numFmt w:val="decimal"/>
      <w:suff w:val="nothing"/>
      <w:lvlText w:val="[%1]"/>
      <w:lvlJc w:val="left"/>
      <w:pPr>
        <w:tabs>
          <w:tab w:val="left" w:pos="0"/>
        </w:tabs>
        <w:ind w:left="425" w:hanging="425"/>
      </w:pPr>
      <w:rPr>
        <w:rFonts w:hint="default"/>
        <w:sz w:val="21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8F63A8"/>
    <w:rsid w:val="23256CB7"/>
    <w:rsid w:val="248F63A8"/>
    <w:rsid w:val="284701FB"/>
    <w:rsid w:val="2B110340"/>
    <w:rsid w:val="31817A46"/>
    <w:rsid w:val="34F110E0"/>
    <w:rsid w:val="363624CF"/>
    <w:rsid w:val="3FEE42F3"/>
    <w:rsid w:val="42026F12"/>
    <w:rsid w:val="44F92736"/>
    <w:rsid w:val="47C93E63"/>
    <w:rsid w:val="50033E4B"/>
    <w:rsid w:val="507F18FF"/>
    <w:rsid w:val="523A073B"/>
    <w:rsid w:val="6EBD693E"/>
    <w:rsid w:val="77AF566A"/>
    <w:rsid w:val="79507314"/>
    <w:rsid w:val="7AF8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50" w:beforeLines="150" w:beforeAutospacing="0" w:after="150" w:afterLines="150" w:afterAutospacing="0" w:line="360" w:lineRule="auto"/>
      <w:jc w:val="center"/>
      <w:outlineLvl w:val="0"/>
    </w:pPr>
    <w:rPr>
      <w:rFonts w:eastAsia="黑体" w:asciiTheme="minorAscii" w:hAnsiTheme="minorAscii"/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50" w:beforeLines="150" w:after="150" w:afterLines="150" w:line="360" w:lineRule="auto"/>
      <w:jc w:val="both"/>
      <w:outlineLvl w:val="1"/>
    </w:pPr>
    <w:rPr>
      <w:rFonts w:ascii="Arial" w:hAnsi="Arial" w:eastAsia="黑体"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50" w:beforeLines="150" w:beforeAutospacing="0" w:after="150" w:afterLines="150" w:afterAutospacing="0" w:line="360" w:lineRule="auto"/>
      <w:outlineLvl w:val="2"/>
    </w:pPr>
    <w:rPr>
      <w:rFonts w:eastAsia="黑体" w:asciiTheme="minorAscii" w:hAnsiTheme="minorAscii"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qFormat/>
    <w:uiPriority w:val="0"/>
    <w:pPr>
      <w:spacing w:before="200" w:beforeLines="200" w:beforeAutospacing="0" w:after="100" w:afterLines="100" w:afterAutospacing="0"/>
      <w:ind w:left="1155" w:leftChars="300" w:hanging="525" w:hangingChars="250"/>
      <w:jc w:val="left"/>
      <w:outlineLvl w:val="0"/>
    </w:pPr>
    <w:rPr>
      <w:rFonts w:ascii="Arial" w:hAnsi="Arial" w:eastAsia="黑体"/>
      <w:b/>
      <w:sz w:val="36"/>
      <w:u w:val="single"/>
    </w:rPr>
  </w:style>
  <w:style w:type="paragraph" w:customStyle="1" w:styleId="8">
    <w:name w:val="参考文献"/>
    <w:basedOn w:val="1"/>
    <w:next w:val="1"/>
    <w:qFormat/>
    <w:uiPriority w:val="0"/>
    <w:pPr>
      <w:keepNext/>
      <w:keepLines/>
      <w:spacing w:before="50" w:beforeLines="50" w:after="50" w:afterLines="50" w:line="360" w:lineRule="auto"/>
      <w:ind w:firstLine="0" w:firstLineChars="0"/>
      <w:jc w:val="center"/>
      <w:outlineLvl w:val="0"/>
    </w:pPr>
    <w:rPr>
      <w:rFonts w:hint="default" w:eastAsia="黑体" w:asciiTheme="minorAscii" w:hAnsiTheme="minorAscii"/>
      <w:b/>
      <w:kern w:val="44"/>
      <w:sz w:val="28"/>
    </w:rPr>
  </w:style>
  <w:style w:type="paragraph" w:customStyle="1" w:styleId="9">
    <w:name w:val="摘要"/>
    <w:basedOn w:val="1"/>
    <w:qFormat/>
    <w:uiPriority w:val="0"/>
    <w:pPr>
      <w:snapToGrid w:val="0"/>
      <w:spacing w:before="50" w:beforeLines="50" w:after="50" w:afterLines="50" w:line="360" w:lineRule="auto"/>
      <w:ind w:left="1155" w:leftChars="300" w:hanging="525" w:hangingChars="250"/>
      <w:jc w:val="center"/>
      <w:outlineLvl w:val="0"/>
    </w:pPr>
    <w:rPr>
      <w:rFonts w:hint="eastAsia" w:ascii="Arial" w:hAnsi="Arial" w:eastAsia="黑体"/>
      <w:b/>
      <w:sz w:val="30"/>
      <w:u w:val="single"/>
    </w:rPr>
  </w:style>
  <w:style w:type="paragraph" w:customStyle="1" w:styleId="10">
    <w:name w:val="摘要正文"/>
    <w:basedOn w:val="9"/>
    <w:qFormat/>
    <w:uiPriority w:val="0"/>
    <w:pPr>
      <w:spacing w:before="200" w:beforeLines="200" w:after="100" w:afterLines="100"/>
      <w:ind w:left="0" w:leftChars="0" w:firstLine="723" w:firstLineChars="200"/>
      <w:jc w:val="both"/>
      <w:outlineLvl w:val="9"/>
    </w:pPr>
    <w:rPr>
      <w:rFonts w:hint="default" w:ascii="Times New Roman" w:hAnsi="Times New Roman" w:eastAsia="宋体"/>
      <w:sz w:val="24"/>
    </w:rPr>
  </w:style>
  <w:style w:type="paragraph" w:customStyle="1" w:styleId="11">
    <w:name w:val="关键字内容"/>
    <w:basedOn w:val="1"/>
    <w:uiPriority w:val="0"/>
    <w:pPr>
      <w:spacing w:before="200" w:beforeLines="200" w:after="100" w:afterLines="100" w:line="360" w:lineRule="auto"/>
      <w:ind w:left="1155" w:leftChars="300" w:firstLine="723" w:firstLineChars="200"/>
      <w:jc w:val="both"/>
      <w:outlineLvl w:val="9"/>
    </w:pPr>
    <w:rPr>
      <w:rFonts w:ascii="Times New Roman" w:hAnsi="Times New Roman" w:eastAsia="宋体"/>
      <w:sz w:val="24"/>
      <w:u w:val="single"/>
    </w:rPr>
  </w:style>
  <w:style w:type="character" w:customStyle="1" w:styleId="12">
    <w:name w:val="报告 标题一"/>
    <w:uiPriority w:val="0"/>
    <w:rPr>
      <w:rFonts w:ascii="Times New Roman" w:hAnsi="Times New Roman" w:eastAsia="宋体" w:cs="Times New Roman"/>
      <w:b/>
      <w:kern w:val="2"/>
      <w:sz w:val="36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2025-11-13T12:35:00Z</dcterms:created>
  <dc:creator>胚芽鞘</dc:creator>
  <cp:lastModifiedBy>胚芽鞘</cp:lastModifiedBy>
  <dcterms:modified xsi:type="dcterms:W3CDTF">2025-11-13T12:43:23Z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3A8125439D5749B6BBF1027CC7005198_11</vt:lpwstr>
  </property>
  <property fmtid="{D5CDD505-2E9C-101B-9397-08002B2CF9AE}" pid="4" name="KSOTemplateDocerSaveRecord">
    <vt:lpwstr>eyJoZGlkIjoiNGU5YTk2NWU3OTRhNTU0YjZlNWE0ODExMjY4YzM0MTgiLCJ1c2VySWQiOiIxNDMzNzE1ODg3In0=</vt:lpwstr>
  </property>
</Properties>
</file>