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EF77C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UtoDePIN</w:t>
      </w:r>
      <w:r>
        <w:rPr>
          <w:rFonts w:ascii="宋体" w:hAnsi="宋体" w:eastAsia="宋体" w:cs="宋体"/>
          <w:color w:val="auto"/>
          <w:spacing w:val="0"/>
          <w:position w:val="0"/>
          <w:sz w:val="21"/>
          <w:shd w:val="clear" w:color="auto" w:fill="auto"/>
        </w:rPr>
        <w:t>开发文档</w:t>
      </w:r>
    </w:p>
    <w:p w14:paraId="184C3CD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23107A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区块链网络</w:t>
      </w:r>
    </w:p>
    <w:p w14:paraId="51D85C1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FA330B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1.1L1</w:t>
      </w:r>
      <w:r>
        <w:rPr>
          <w:rFonts w:ascii="宋体" w:hAnsi="宋体" w:eastAsia="宋体" w:cs="宋体"/>
          <w:color w:val="auto"/>
          <w:spacing w:val="0"/>
          <w:position w:val="0"/>
          <w:sz w:val="21"/>
          <w:shd w:val="clear" w:color="auto" w:fill="auto"/>
        </w:rPr>
        <w:t>节点</w:t>
      </w:r>
    </w:p>
    <w:p w14:paraId="1B00065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功能描述:处理区块链主网事务的节点。</w:t>
      </w:r>
    </w:p>
    <w:p w14:paraId="2EAA19B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8E4ADE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1.2</w:t>
      </w:r>
      <w:r>
        <w:rPr>
          <w:rFonts w:ascii="宋体" w:hAnsi="宋体" w:eastAsia="宋体" w:cs="宋体"/>
          <w:color w:val="auto"/>
          <w:spacing w:val="0"/>
          <w:position w:val="0"/>
          <w:sz w:val="21"/>
          <w:shd w:val="clear" w:color="auto" w:fill="auto"/>
        </w:rPr>
        <w:t>区块链网络</w:t>
      </w:r>
    </w:p>
    <w:p w14:paraId="5C3AB2E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Fork</w:t>
      </w:r>
      <w:r>
        <w:rPr>
          <w:rFonts w:ascii="宋体" w:hAnsi="宋体" w:eastAsia="宋体" w:cs="宋体"/>
          <w:color w:val="auto"/>
          <w:spacing w:val="0"/>
          <w:position w:val="0"/>
          <w:sz w:val="21"/>
          <w:shd w:val="clear" w:color="auto" w:fill="auto"/>
        </w:rPr>
        <w:t>以太坊:</w:t>
      </w:r>
      <w:r>
        <w:rPr>
          <w:rFonts w:ascii="Calibri" w:hAnsi="Calibri" w:eastAsia="Calibri" w:cs="Calibri"/>
          <w:color w:val="auto"/>
          <w:spacing w:val="0"/>
          <w:position w:val="0"/>
          <w:sz w:val="21"/>
          <w:shd w:val="clear" w:color="auto" w:fill="auto"/>
        </w:rPr>
        <w:t>Fork</w:t>
      </w:r>
      <w:r>
        <w:rPr>
          <w:rFonts w:ascii="宋体" w:hAnsi="宋体" w:eastAsia="宋体" w:cs="宋体"/>
          <w:color w:val="auto"/>
          <w:spacing w:val="0"/>
          <w:position w:val="0"/>
          <w:sz w:val="21"/>
          <w:shd w:val="clear" w:color="auto" w:fill="auto"/>
        </w:rPr>
        <w:t>以太坊（</w:t>
      </w:r>
      <w:r>
        <w:rPr>
          <w:rFonts w:ascii="Calibri" w:hAnsi="Calibri" w:eastAsia="Calibri" w:cs="Calibri"/>
          <w:color w:val="auto"/>
          <w:spacing w:val="0"/>
          <w:position w:val="0"/>
          <w:sz w:val="21"/>
          <w:shd w:val="clear" w:color="auto" w:fill="auto"/>
        </w:rPr>
        <w:t>Ethereum</w:t>
      </w:r>
      <w:r>
        <w:rPr>
          <w:rFonts w:ascii="宋体" w:hAnsi="宋体" w:eastAsia="宋体" w:cs="宋体"/>
          <w:color w:val="auto"/>
          <w:spacing w:val="0"/>
          <w:position w:val="0"/>
          <w:sz w:val="21"/>
          <w:shd w:val="clear" w:color="auto" w:fill="auto"/>
        </w:rPr>
        <w:t>），再根据项目需求进行优化和改造。</w:t>
      </w:r>
    </w:p>
    <w:p w14:paraId="2A247DA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D53F2E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1.3</w:t>
      </w:r>
      <w:r>
        <w:rPr>
          <w:rFonts w:ascii="宋体" w:hAnsi="宋体" w:eastAsia="宋体" w:cs="宋体"/>
          <w:color w:val="auto"/>
          <w:spacing w:val="0"/>
          <w:position w:val="0"/>
          <w:sz w:val="21"/>
          <w:shd w:val="clear" w:color="auto" w:fill="auto"/>
        </w:rPr>
        <w:t>创世区块</w:t>
      </w:r>
    </w:p>
    <w:p w14:paraId="1A79940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独立公链:创世节点独立分发。</w:t>
      </w:r>
    </w:p>
    <w:p w14:paraId="4025363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开源:开源，</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1EC3679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A0A671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1.4</w:t>
      </w:r>
      <w:r>
        <w:rPr>
          <w:rFonts w:ascii="宋体" w:hAnsi="宋体" w:eastAsia="宋体" w:cs="宋体"/>
          <w:color w:val="auto"/>
          <w:spacing w:val="0"/>
          <w:position w:val="0"/>
          <w:sz w:val="21"/>
          <w:shd w:val="clear" w:color="auto" w:fill="auto"/>
        </w:rPr>
        <w:t>网络切换</w:t>
      </w:r>
    </w:p>
    <w:p w14:paraId="5B3DCF9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正式网络:正式网络。</w:t>
      </w:r>
    </w:p>
    <w:p w14:paraId="068BF90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测试网络:测试网络。</w:t>
      </w:r>
    </w:p>
    <w:p w14:paraId="41FDD2A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4886543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39AED2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1.5USDT</w:t>
      </w:r>
      <w:r>
        <w:rPr>
          <w:rFonts w:ascii="宋体" w:hAnsi="宋体" w:eastAsia="宋体" w:cs="宋体"/>
          <w:color w:val="auto"/>
          <w:spacing w:val="0"/>
          <w:position w:val="0"/>
          <w:sz w:val="21"/>
          <w:shd w:val="clear" w:color="auto" w:fill="auto"/>
        </w:rPr>
        <w:t>跨链</w:t>
      </w:r>
    </w:p>
    <w:p w14:paraId="717C5BF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第三方跨链系统接入公链底层:第三方跨链系统接入公链底层。</w:t>
      </w:r>
    </w:p>
    <w:p w14:paraId="16015D0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测试网络:测试网络。</w:t>
      </w:r>
    </w:p>
    <w:p w14:paraId="2A8B9CC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16A44AB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4EB2A2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语言支持</w:t>
      </w:r>
    </w:p>
    <w:p w14:paraId="2B266F2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繁体中文:繁体中文。</w:t>
      </w:r>
    </w:p>
    <w:p w14:paraId="1D5E1FA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英文:英文。</w:t>
      </w:r>
    </w:p>
    <w:p w14:paraId="0222A8D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77805C3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C88148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3.DAPP</w:t>
      </w:r>
      <w:r>
        <w:rPr>
          <w:rFonts w:ascii="宋体" w:hAnsi="宋体" w:eastAsia="宋体" w:cs="宋体"/>
          <w:color w:val="auto"/>
          <w:spacing w:val="0"/>
          <w:position w:val="0"/>
          <w:sz w:val="21"/>
          <w:shd w:val="clear" w:color="auto" w:fill="auto"/>
        </w:rPr>
        <w:t>应用层</w:t>
      </w:r>
    </w:p>
    <w:p w14:paraId="39CE83F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3B0BE0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3.1</w:t>
      </w:r>
      <w:r>
        <w:rPr>
          <w:rFonts w:ascii="宋体" w:hAnsi="宋体" w:eastAsia="宋体" w:cs="宋体"/>
          <w:color w:val="auto"/>
          <w:spacing w:val="0"/>
          <w:position w:val="0"/>
          <w:sz w:val="21"/>
          <w:shd w:val="clear" w:color="auto" w:fill="auto"/>
        </w:rPr>
        <w:t>模块</w:t>
      </w:r>
    </w:p>
    <w:p w14:paraId="062E064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功能:模块功能描述。</w:t>
      </w:r>
    </w:p>
    <w:p w14:paraId="290C375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原理:模块原理描述。</w:t>
      </w:r>
    </w:p>
    <w:p w14:paraId="226DCD7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0624887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33A000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3.2</w:t>
      </w:r>
      <w:r>
        <w:rPr>
          <w:rFonts w:ascii="宋体" w:hAnsi="宋体" w:eastAsia="宋体" w:cs="宋体"/>
          <w:color w:val="auto"/>
          <w:spacing w:val="0"/>
          <w:position w:val="0"/>
          <w:sz w:val="21"/>
          <w:shd w:val="clear" w:color="auto" w:fill="auto"/>
        </w:rPr>
        <w:t>前端托管机制</w:t>
      </w:r>
    </w:p>
    <w:p w14:paraId="3303A9A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前端代码托管在区块链上:通过智能合约地址访问。</w:t>
      </w:r>
    </w:p>
    <w:p w14:paraId="7705C35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前端资源通过智能合约进行存储和分发:提供了一种去中心化的前端托管方案。</w:t>
      </w:r>
    </w:p>
    <w:p w14:paraId="3705FE6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241EFBE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1FDDFA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3.3</w:t>
      </w:r>
      <w:r>
        <w:rPr>
          <w:rFonts w:ascii="宋体" w:hAnsi="宋体" w:eastAsia="宋体" w:cs="宋体"/>
          <w:color w:val="auto"/>
          <w:spacing w:val="0"/>
          <w:position w:val="0"/>
          <w:sz w:val="21"/>
          <w:shd w:val="clear" w:color="auto" w:fill="auto"/>
        </w:rPr>
        <w:t>去中心化</w:t>
      </w:r>
      <w:r>
        <w:rPr>
          <w:rFonts w:ascii="Calibri" w:hAnsi="Calibri" w:eastAsia="Calibri" w:cs="Calibri"/>
          <w:color w:val="auto"/>
          <w:spacing w:val="0"/>
          <w:position w:val="0"/>
          <w:sz w:val="21"/>
          <w:shd w:val="clear" w:color="auto" w:fill="auto"/>
        </w:rPr>
        <w:t>(DNS)DAAP</w:t>
      </w:r>
    </w:p>
    <w:p w14:paraId="554F71B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允许用户通过智能合约地址直接访问</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:无需传统</w:t>
      </w:r>
      <w:r>
        <w:rPr>
          <w:rFonts w:ascii="Calibri" w:hAnsi="Calibri" w:eastAsia="Calibri" w:cs="Calibri"/>
          <w:color w:val="auto"/>
          <w:spacing w:val="0"/>
          <w:position w:val="0"/>
          <w:sz w:val="21"/>
          <w:shd w:val="clear" w:color="auto" w:fill="auto"/>
        </w:rPr>
        <w:t>DNS</w:t>
      </w:r>
      <w:r>
        <w:rPr>
          <w:rFonts w:ascii="宋体" w:hAnsi="宋体" w:eastAsia="宋体" w:cs="宋体"/>
          <w:color w:val="auto"/>
          <w:spacing w:val="0"/>
          <w:position w:val="0"/>
          <w:sz w:val="21"/>
          <w:shd w:val="clear" w:color="auto" w:fill="auto"/>
        </w:rPr>
        <w:t>。</w:t>
      </w:r>
    </w:p>
    <w:p w14:paraId="1B26D60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DAAP</w:t>
      </w:r>
      <w:r>
        <w:rPr>
          <w:rFonts w:ascii="宋体" w:hAnsi="宋体" w:eastAsia="宋体" w:cs="宋体"/>
          <w:color w:val="auto"/>
          <w:spacing w:val="0"/>
          <w:position w:val="0"/>
          <w:sz w:val="21"/>
          <w:shd w:val="clear" w:color="auto" w:fill="auto"/>
        </w:rPr>
        <w:t>协议通过区块链网络解析智能合约地址:实现去中心化的域名解析服务。</w:t>
      </w:r>
    </w:p>
    <w:p w14:paraId="06C20A9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003BF7B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FD863C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3.4</w:t>
      </w:r>
      <w:r>
        <w:rPr>
          <w:rFonts w:ascii="宋体" w:hAnsi="宋体" w:eastAsia="宋体" w:cs="宋体"/>
          <w:color w:val="auto"/>
          <w:spacing w:val="0"/>
          <w:position w:val="0"/>
          <w:sz w:val="21"/>
          <w:shd w:val="clear" w:color="auto" w:fill="auto"/>
        </w:rPr>
        <w:t>智能合约动态节点绑定</w:t>
      </w:r>
    </w:p>
    <w:p w14:paraId="287764D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允许用户通过智能合约地址直接访问</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:无需传统</w:t>
      </w:r>
      <w:r>
        <w:rPr>
          <w:rFonts w:ascii="Calibri" w:hAnsi="Calibri" w:eastAsia="Calibri" w:cs="Calibri"/>
          <w:color w:val="auto"/>
          <w:spacing w:val="0"/>
          <w:position w:val="0"/>
          <w:sz w:val="21"/>
          <w:shd w:val="clear" w:color="auto" w:fill="auto"/>
        </w:rPr>
        <w:t>DNS</w:t>
      </w:r>
      <w:r>
        <w:rPr>
          <w:rFonts w:ascii="宋体" w:hAnsi="宋体" w:eastAsia="宋体" w:cs="宋体"/>
          <w:color w:val="auto"/>
          <w:spacing w:val="0"/>
          <w:position w:val="0"/>
          <w:sz w:val="21"/>
          <w:shd w:val="clear" w:color="auto" w:fill="auto"/>
        </w:rPr>
        <w:t>。</w:t>
      </w:r>
    </w:p>
    <w:p w14:paraId="17F02C7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智能合约根据后端节点的</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变动自动更新地址映射:保持用户访问的稳定性。</w:t>
      </w:r>
    </w:p>
    <w:p w14:paraId="3697E2E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2BDBE3A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77C70B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3.5</w:t>
      </w:r>
      <w:r>
        <w:rPr>
          <w:rFonts w:ascii="宋体" w:hAnsi="宋体" w:eastAsia="宋体" w:cs="宋体"/>
          <w:color w:val="auto"/>
          <w:spacing w:val="0"/>
          <w:position w:val="0"/>
          <w:sz w:val="21"/>
          <w:shd w:val="clear" w:color="auto" w:fill="auto"/>
        </w:rPr>
        <w:t>去中心化应用访问协议（</w:t>
      </w:r>
      <w:r>
        <w:rPr>
          <w:rFonts w:ascii="Calibri" w:hAnsi="Calibri" w:eastAsia="Calibri" w:cs="Calibri"/>
          <w:color w:val="auto"/>
          <w:spacing w:val="0"/>
          <w:position w:val="0"/>
          <w:sz w:val="21"/>
          <w:shd w:val="clear" w:color="auto" w:fill="auto"/>
        </w:rPr>
        <w:t>DAAP</w:t>
      </w:r>
      <w:r>
        <w:rPr>
          <w:rFonts w:ascii="宋体" w:hAnsi="宋体" w:eastAsia="宋体" w:cs="宋体"/>
          <w:color w:val="auto"/>
          <w:spacing w:val="0"/>
          <w:position w:val="0"/>
          <w:sz w:val="21"/>
          <w:shd w:val="clear" w:color="auto" w:fill="auto"/>
        </w:rPr>
        <w:t>）</w:t>
      </w:r>
    </w:p>
    <w:p w14:paraId="512E471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允许用户通过智能合约地址直接访问</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:无需传统</w:t>
      </w:r>
      <w:r>
        <w:rPr>
          <w:rFonts w:ascii="Calibri" w:hAnsi="Calibri" w:eastAsia="Calibri" w:cs="Calibri"/>
          <w:color w:val="auto"/>
          <w:spacing w:val="0"/>
          <w:position w:val="0"/>
          <w:sz w:val="21"/>
          <w:shd w:val="clear" w:color="auto" w:fill="auto"/>
        </w:rPr>
        <w:t>DNS</w:t>
      </w:r>
      <w:r>
        <w:rPr>
          <w:rFonts w:ascii="宋体" w:hAnsi="宋体" w:eastAsia="宋体" w:cs="宋体"/>
          <w:color w:val="auto"/>
          <w:spacing w:val="0"/>
          <w:position w:val="0"/>
          <w:sz w:val="21"/>
          <w:shd w:val="clear" w:color="auto" w:fill="auto"/>
        </w:rPr>
        <w:t>。</w:t>
      </w:r>
    </w:p>
    <w:p w14:paraId="31D7669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DAAP</w:t>
      </w:r>
      <w:r>
        <w:rPr>
          <w:rFonts w:ascii="宋体" w:hAnsi="宋体" w:eastAsia="宋体" w:cs="宋体"/>
          <w:color w:val="auto"/>
          <w:spacing w:val="0"/>
          <w:position w:val="0"/>
          <w:sz w:val="21"/>
          <w:shd w:val="clear" w:color="auto" w:fill="auto"/>
        </w:rPr>
        <w:t>利用区块链网络提供去中心化的路由服务:增强了</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的安全性和抗审查性。</w:t>
      </w:r>
    </w:p>
    <w:p w14:paraId="22F774F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3EFD782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88CCE2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3.6</w:t>
      </w:r>
      <w:r>
        <w:rPr>
          <w:rFonts w:ascii="宋体" w:hAnsi="宋体" w:eastAsia="宋体" w:cs="宋体"/>
          <w:color w:val="auto"/>
          <w:spacing w:val="0"/>
          <w:position w:val="0"/>
          <w:sz w:val="21"/>
          <w:shd w:val="clear" w:color="auto" w:fill="auto"/>
        </w:rPr>
        <w:t>区块链</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托管服务（</w:t>
      </w:r>
      <w:r>
        <w:rPr>
          <w:rFonts w:ascii="Calibri" w:hAnsi="Calibri" w:eastAsia="Calibri" w:cs="Calibri"/>
          <w:color w:val="auto"/>
          <w:spacing w:val="0"/>
          <w:position w:val="0"/>
          <w:sz w:val="21"/>
          <w:shd w:val="clear" w:color="auto" w:fill="auto"/>
        </w:rPr>
        <w:t>BIHS</w:t>
      </w:r>
      <w:r>
        <w:rPr>
          <w:rFonts w:ascii="宋体" w:hAnsi="宋体" w:eastAsia="宋体" w:cs="宋体"/>
          <w:color w:val="auto"/>
          <w:spacing w:val="0"/>
          <w:position w:val="0"/>
          <w:sz w:val="21"/>
          <w:shd w:val="clear" w:color="auto" w:fill="auto"/>
        </w:rPr>
        <w:t>）</w:t>
      </w:r>
    </w:p>
    <w:p w14:paraId="36EFA8A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将</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地址托管在区块链上:通过智能合约管理</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地址的分配和更新。</w:t>
      </w:r>
    </w:p>
    <w:p w14:paraId="2C5B473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BIHS</w:t>
      </w:r>
      <w:r>
        <w:rPr>
          <w:rFonts w:ascii="宋体" w:hAnsi="宋体" w:eastAsia="宋体" w:cs="宋体"/>
          <w:color w:val="auto"/>
          <w:spacing w:val="0"/>
          <w:position w:val="0"/>
          <w:sz w:val="21"/>
          <w:shd w:val="clear" w:color="auto" w:fill="auto"/>
        </w:rPr>
        <w:t>通过智能合约实现</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地址的动态管理:保障</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后端的高可用性。</w:t>
      </w:r>
    </w:p>
    <w:p w14:paraId="42AB06D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6483D9F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8059E3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3.7</w:t>
      </w:r>
      <w:r>
        <w:rPr>
          <w:rFonts w:ascii="宋体" w:hAnsi="宋体" w:eastAsia="宋体" w:cs="宋体"/>
          <w:color w:val="auto"/>
          <w:spacing w:val="0"/>
          <w:position w:val="0"/>
          <w:sz w:val="21"/>
          <w:shd w:val="clear" w:color="auto" w:fill="auto"/>
        </w:rPr>
        <w:t>智能合约</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同步器</w:t>
      </w:r>
    </w:p>
    <w:p w14:paraId="4DB4B36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实时监测和同步智能合约关联的动态</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地址:同步器作为</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的一部分，确保用户请求总是被导向最新的服务节点。</w:t>
      </w:r>
    </w:p>
    <w:p w14:paraId="574291F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1462D95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A56481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3.8</w:t>
      </w:r>
      <w:r>
        <w:rPr>
          <w:rFonts w:ascii="宋体" w:hAnsi="宋体" w:eastAsia="宋体" w:cs="宋体"/>
          <w:color w:val="auto"/>
          <w:spacing w:val="0"/>
          <w:position w:val="0"/>
          <w:sz w:val="21"/>
          <w:shd w:val="clear" w:color="auto" w:fill="auto"/>
        </w:rPr>
        <w:t>动态后端智能合约托管（</w:t>
      </w:r>
      <w:r>
        <w:rPr>
          <w:rFonts w:ascii="Calibri" w:hAnsi="Calibri" w:eastAsia="Calibri" w:cs="Calibri"/>
          <w:color w:val="auto"/>
          <w:spacing w:val="0"/>
          <w:position w:val="0"/>
          <w:sz w:val="21"/>
          <w:shd w:val="clear" w:color="auto" w:fill="auto"/>
        </w:rPr>
        <w:t>DBSCH</w:t>
      </w:r>
      <w:r>
        <w:rPr>
          <w:rFonts w:ascii="宋体" w:hAnsi="宋体" w:eastAsia="宋体" w:cs="宋体"/>
          <w:color w:val="auto"/>
          <w:spacing w:val="0"/>
          <w:position w:val="0"/>
          <w:sz w:val="21"/>
          <w:shd w:val="clear" w:color="auto" w:fill="auto"/>
        </w:rPr>
        <w:t>）</w:t>
      </w:r>
    </w:p>
    <w:p w14:paraId="1528401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结合智能合约稳定性和动态</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灵活性:提供</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托管解决方案。</w:t>
      </w:r>
    </w:p>
    <w:p w14:paraId="3E42E66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DBSCH</w:t>
      </w:r>
      <w:r>
        <w:rPr>
          <w:rFonts w:ascii="宋体" w:hAnsi="宋体" w:eastAsia="宋体" w:cs="宋体"/>
          <w:color w:val="auto"/>
          <w:spacing w:val="0"/>
          <w:position w:val="0"/>
          <w:sz w:val="21"/>
          <w:shd w:val="clear" w:color="auto" w:fill="auto"/>
        </w:rPr>
        <w:t>允许</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在没有中心化后台服务的情况下运行:由智能合约自动管理后端功能。</w:t>
      </w:r>
    </w:p>
    <w:p w14:paraId="3B48406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43372807">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24133DFD">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POS（Proof of Stake）共识机制中，打包区块的奖励模型和Gas费的收取方式，以及奖</w:t>
      </w:r>
    </w:p>
    <w:p w14:paraId="21A94442">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1. 打包区块奖励模型：</w:t>
      </w:r>
    </w:p>
    <w:p w14:paraId="50185406">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在POS机制中，验证者通过质押至少100枚Uto代币来获得创建新区块的权利。这些验证者负责检查网络中传播的新区块的有效性，并在被随机选中时创建和传播新区块。</w:t>
      </w:r>
    </w:p>
    <w:p w14:paraId="0EF46485">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验证者作为区块提议者时，会获得区块奖励，这是对他们维护网络安全的激励。奖励通常包括区块内交易的手续费（Gas费）和新创建的代币。</w:t>
      </w:r>
    </w:p>
    <w:p w14:paraId="7A00372D">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奖励的具体数额是根据验证者的有效余额以及活跃验证者的总数计算的。基础奖励与验证者的有效余额成正比，与网络中的验证者数量成反比。</w:t>
      </w:r>
    </w:p>
    <w:p w14:paraId="14C6B29A">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2. 转账、买卖等收GAS费：</w:t>
      </w:r>
    </w:p>
    <w:p w14:paraId="60776C1B">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在区块链网络中，执行任何操作，包括转账、智能合约的执行等，都需要支付Gas费。Gas费是动态定价的，根据网络的拥堵程度和交易的复杂性来调整。</w:t>
      </w:r>
    </w:p>
    <w:p w14:paraId="0279BA31">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Gas费由两部分组成：基础费用和小费。基础费用是将交易包含在区块中的最低费用，而小费则是支付给矿工的额外费用，以激励他们更快地处理交易。</w:t>
      </w:r>
    </w:p>
    <w:p w14:paraId="257ED84C">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3. 奖励生成机制：</w:t>
      </w:r>
    </w:p>
    <w:p w14:paraId="3653AF60">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用户每购买一定数量的</w:t>
      </w:r>
      <w:r>
        <w:rPr>
          <w:rFonts w:hint="eastAsia" w:cs="Calibri"/>
          <w:color w:val="auto"/>
          <w:spacing w:val="0"/>
          <w:position w:val="0"/>
          <w:sz w:val="21"/>
          <w:shd w:val="clear" w:color="auto" w:fill="auto"/>
          <w:lang w:val="en-US" w:eastAsia="zh-CN"/>
        </w:rPr>
        <w:t>Uto</w:t>
      </w:r>
      <w:r>
        <w:rPr>
          <w:rFonts w:hint="eastAsia" w:ascii="Calibri" w:hAnsi="Calibri" w:eastAsia="Calibri" w:cs="Calibri"/>
          <w:color w:val="auto"/>
          <w:spacing w:val="0"/>
          <w:position w:val="0"/>
          <w:sz w:val="21"/>
          <w:shd w:val="clear" w:color="auto" w:fill="auto"/>
        </w:rPr>
        <w:t>币（如100枚），系统会自动生成额外的代币（如1枚）用来奖励矿工。这种机制旨在激励用户购买代币并通过质押参与网络的维护和验证过程。</w:t>
      </w:r>
    </w:p>
    <w:p w14:paraId="3D8F17E6">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这种奖励生成机制有助于维持网络的经济模型稳定，同时通过经济激励鼓励更多的参与者加入网络，从而提高网络的安全性和去中心化程度。</w:t>
      </w:r>
    </w:p>
    <w:p w14:paraId="754A7146">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4. 安全性与攻击成本：</w:t>
      </w:r>
    </w:p>
    <w:p w14:paraId="023CDF77">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POS机制通过质押和罚没机制来提高网络的安全性。如果验证者行为不诚实，比如在同一时隙提议多个区块，他们质押的代币可能会被部分或全部没收，这大大增加了恶意行为的成本。</w:t>
      </w:r>
    </w:p>
    <w:p w14:paraId="68A1745B">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攻击网络的成本非常高，因为攻击者需要积累大量的质押代币才能对网络产生影响。此外，怠惰惩罚机制可以逐渐消耗不活跃验证者的质押代币，直到他们控制的总质押少于1/3，从而确保网络的最终确定性。</w:t>
      </w:r>
    </w:p>
    <w:p w14:paraId="4375CEF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A9DC4C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AABDCC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4.UTO</w:t>
      </w:r>
      <w:r>
        <w:rPr>
          <w:rFonts w:ascii="宋体" w:hAnsi="宋体" w:eastAsia="宋体" w:cs="宋体"/>
          <w:color w:val="auto"/>
          <w:spacing w:val="0"/>
          <w:position w:val="0"/>
          <w:sz w:val="21"/>
          <w:shd w:val="clear" w:color="auto" w:fill="auto"/>
        </w:rPr>
        <w:t>区块浏览器</w:t>
      </w:r>
    </w:p>
    <w:p w14:paraId="7B6A298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95FEE3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4.1</w:t>
      </w:r>
      <w:r>
        <w:rPr>
          <w:rFonts w:ascii="宋体" w:hAnsi="宋体" w:eastAsia="宋体" w:cs="宋体"/>
          <w:color w:val="auto"/>
          <w:spacing w:val="0"/>
          <w:position w:val="0"/>
          <w:sz w:val="21"/>
          <w:shd w:val="clear" w:color="auto" w:fill="auto"/>
        </w:rPr>
        <w:t>主页</w:t>
      </w:r>
    </w:p>
    <w:p w14:paraId="49828E1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搜索框内容:输入地址</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交易哈希值</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区块哈希值</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区块号</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代币查询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钱包下</w:t>
      </w:r>
      <w:r>
        <w:rPr>
          <w:rFonts w:ascii="Calibri" w:hAnsi="Calibri" w:eastAsia="Calibri" w:cs="Calibri"/>
          <w:color w:val="auto"/>
          <w:spacing w:val="0"/>
          <w:position w:val="0"/>
          <w:sz w:val="21"/>
          <w:shd w:val="clear" w:color="auto" w:fill="auto"/>
        </w:rPr>
        <w:t>ip/ip</w:t>
      </w:r>
      <w:r>
        <w:rPr>
          <w:rFonts w:ascii="宋体" w:hAnsi="宋体" w:eastAsia="宋体" w:cs="宋体"/>
          <w:color w:val="auto"/>
          <w:spacing w:val="0"/>
          <w:position w:val="0"/>
          <w:sz w:val="21"/>
          <w:shd w:val="clear" w:color="auto" w:fill="auto"/>
        </w:rPr>
        <w:t>查询钱包</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流量明细等数据。</w:t>
      </w:r>
    </w:p>
    <w:p w14:paraId="49E98A7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首页顶部:</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价格。</w:t>
      </w:r>
    </w:p>
    <w:p w14:paraId="3257F15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交易量（近</w:t>
      </w: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天）、流通总量、总市值、销毁总量、质押总量、验证人数。</w:t>
      </w:r>
    </w:p>
    <w:p w14:paraId="5B89190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最新区块:最新区块、区块号、出块时间、打包者、交易数。</w:t>
      </w:r>
    </w:p>
    <w:p w14:paraId="1B53958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查看更多:查看更多。</w:t>
      </w:r>
    </w:p>
    <w:p w14:paraId="5633F74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CE8238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4.2</w:t>
      </w:r>
      <w:r>
        <w:rPr>
          <w:rFonts w:ascii="宋体" w:hAnsi="宋体" w:eastAsia="宋体" w:cs="宋体"/>
          <w:color w:val="auto"/>
          <w:spacing w:val="0"/>
          <w:position w:val="0"/>
          <w:sz w:val="21"/>
          <w:shd w:val="clear" w:color="auto" w:fill="auto"/>
        </w:rPr>
        <w:t>最新交易</w:t>
      </w:r>
    </w:p>
    <w:p w14:paraId="47BAFAC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交易哈希值:最新交易。</w:t>
      </w:r>
    </w:p>
    <w:p w14:paraId="0994261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从到:最新交易。</w:t>
      </w:r>
    </w:p>
    <w:p w14:paraId="44B5FF7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查看更多:查看更多。</w:t>
      </w:r>
    </w:p>
    <w:p w14:paraId="058C801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F38896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4.3</w:t>
      </w:r>
      <w:r>
        <w:rPr>
          <w:rFonts w:ascii="宋体" w:hAnsi="宋体" w:eastAsia="宋体" w:cs="宋体"/>
          <w:color w:val="auto"/>
          <w:spacing w:val="0"/>
          <w:position w:val="0"/>
          <w:sz w:val="21"/>
          <w:shd w:val="clear" w:color="auto" w:fill="auto"/>
        </w:rPr>
        <w:t>底部导航栏</w:t>
      </w:r>
    </w:p>
    <w:p w14:paraId="4ACDCA6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开发者中心:开发者中心。</w:t>
      </w:r>
    </w:p>
    <w:p w14:paraId="268D1A9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产品:</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钱包、</w:t>
      </w:r>
      <w:r>
        <w:rPr>
          <w:rFonts w:ascii="Calibri" w:hAnsi="Calibri" w:eastAsia="Calibri" w:cs="Calibri"/>
          <w:color w:val="auto"/>
          <w:spacing w:val="0"/>
          <w:position w:val="0"/>
          <w:sz w:val="21"/>
          <w:shd w:val="clear" w:color="auto" w:fill="auto"/>
        </w:rPr>
        <w:t>UTOwallet</w:t>
      </w:r>
      <w:r>
        <w:rPr>
          <w:rFonts w:ascii="宋体" w:hAnsi="宋体" w:eastAsia="宋体" w:cs="宋体"/>
          <w:color w:val="auto"/>
          <w:spacing w:val="0"/>
          <w:position w:val="0"/>
          <w:sz w:val="21"/>
          <w:shd w:val="clear" w:color="auto" w:fill="auto"/>
        </w:rPr>
        <w:t>。</w:t>
      </w:r>
    </w:p>
    <w:p w14:paraId="3952ED7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、官网。</w:t>
      </w:r>
    </w:p>
    <w:p w14:paraId="0A584ED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页面顶部的区块列表:区块列表（中文改为区块）、共</w:t>
      </w:r>
      <w:r>
        <w:rPr>
          <w:rFonts w:ascii="Calibri" w:hAnsi="Calibri" w:eastAsia="Calibri" w:cs="Calibri"/>
          <w:color w:val="auto"/>
          <w:spacing w:val="0"/>
          <w:position w:val="0"/>
          <w:sz w:val="21"/>
          <w:shd w:val="clear" w:color="auto" w:fill="auto"/>
        </w:rPr>
        <w:t>xx</w:t>
      </w:r>
      <w:r>
        <w:rPr>
          <w:rFonts w:ascii="宋体" w:hAnsi="宋体" w:eastAsia="宋体" w:cs="宋体"/>
          <w:color w:val="auto"/>
          <w:spacing w:val="0"/>
          <w:position w:val="0"/>
          <w:sz w:val="21"/>
          <w:shd w:val="clear" w:color="auto" w:fill="auto"/>
        </w:rPr>
        <w:t>条记录。</w:t>
      </w:r>
    </w:p>
    <w:p w14:paraId="6029C8D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D22053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4.4</w:t>
      </w:r>
      <w:r>
        <w:rPr>
          <w:rFonts w:ascii="宋体" w:hAnsi="宋体" w:eastAsia="宋体" w:cs="宋体"/>
          <w:color w:val="auto"/>
          <w:spacing w:val="0"/>
          <w:position w:val="0"/>
          <w:sz w:val="21"/>
          <w:shd w:val="clear" w:color="auto" w:fill="auto"/>
        </w:rPr>
        <w:t>区块列表</w:t>
      </w:r>
    </w:p>
    <w:p w14:paraId="0369F33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表格:时间、交易数、手续费。</w:t>
      </w:r>
    </w:p>
    <w:p w14:paraId="7E25FF4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打包者:奖励、时间、手续费。</w:t>
      </w:r>
    </w:p>
    <w:p w14:paraId="1E882A1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7EB835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4.5</w:t>
      </w:r>
      <w:r>
        <w:rPr>
          <w:rFonts w:ascii="宋体" w:hAnsi="宋体" w:eastAsia="宋体" w:cs="宋体"/>
          <w:color w:val="auto"/>
          <w:spacing w:val="0"/>
          <w:position w:val="0"/>
          <w:sz w:val="21"/>
          <w:shd w:val="clear" w:color="auto" w:fill="auto"/>
        </w:rPr>
        <w:t>交易列表</w:t>
      </w:r>
    </w:p>
    <w:p w14:paraId="6E70EE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页面顶部:交易列表（中文改为交易）、共</w:t>
      </w:r>
      <w:r>
        <w:rPr>
          <w:rFonts w:ascii="Calibri" w:hAnsi="Calibri" w:eastAsia="Calibri" w:cs="Calibri"/>
          <w:color w:val="auto"/>
          <w:spacing w:val="0"/>
          <w:position w:val="0"/>
          <w:sz w:val="21"/>
          <w:shd w:val="clear" w:color="auto" w:fill="auto"/>
        </w:rPr>
        <w:t>xx</w:t>
      </w:r>
      <w:r>
        <w:rPr>
          <w:rFonts w:ascii="宋体" w:hAnsi="宋体" w:eastAsia="宋体" w:cs="宋体"/>
          <w:color w:val="auto"/>
          <w:spacing w:val="0"/>
          <w:position w:val="0"/>
          <w:sz w:val="21"/>
          <w:shd w:val="clear" w:color="auto" w:fill="auto"/>
        </w:rPr>
        <w:t>条记录。</w:t>
      </w:r>
    </w:p>
    <w:p w14:paraId="2BDC2C4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表格状态类型:已确认、打包中、成功、失败。</w:t>
      </w:r>
    </w:p>
    <w:p w14:paraId="3D55B6B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结果:发送人、接收人、金额、手续费。</w:t>
      </w:r>
    </w:p>
    <w:p w14:paraId="4E7BF59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AAA082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4.6</w:t>
      </w:r>
      <w:r>
        <w:rPr>
          <w:rFonts w:ascii="宋体" w:hAnsi="宋体" w:eastAsia="宋体" w:cs="宋体"/>
          <w:color w:val="auto"/>
          <w:spacing w:val="0"/>
          <w:position w:val="0"/>
          <w:sz w:val="21"/>
          <w:shd w:val="clear" w:color="auto" w:fill="auto"/>
        </w:rPr>
        <w:t>地址详情页</w:t>
      </w:r>
    </w:p>
    <w:p w14:paraId="7CBAFF7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表格:时间、从到、状态、金额、手续费。</w:t>
      </w:r>
    </w:p>
    <w:p w14:paraId="3D5A3D5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合约:合约概览、创建者、数量、其他资产、交易、基本信息、合约名称、合约代码、合约</w:t>
      </w:r>
      <w:r>
        <w:rPr>
          <w:rFonts w:ascii="Calibri" w:hAnsi="Calibri" w:eastAsia="Calibri" w:cs="Calibri"/>
          <w:color w:val="auto"/>
          <w:spacing w:val="0"/>
          <w:position w:val="0"/>
          <w:sz w:val="21"/>
          <w:shd w:val="clear" w:color="auto" w:fill="auto"/>
        </w:rPr>
        <w:t>ABI</w:t>
      </w:r>
      <w:r>
        <w:rPr>
          <w:rFonts w:ascii="宋体" w:hAnsi="宋体" w:eastAsia="宋体" w:cs="宋体"/>
          <w:color w:val="auto"/>
          <w:spacing w:val="0"/>
          <w:position w:val="0"/>
          <w:sz w:val="21"/>
          <w:shd w:val="clear" w:color="auto" w:fill="auto"/>
        </w:rPr>
        <w:t>、字节码。</w:t>
      </w:r>
    </w:p>
    <w:p w14:paraId="6BEA1B6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0AFB9B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4.7</w:t>
      </w:r>
      <w:r>
        <w:rPr>
          <w:rFonts w:ascii="宋体" w:hAnsi="宋体" w:eastAsia="宋体" w:cs="宋体"/>
          <w:color w:val="auto"/>
          <w:spacing w:val="0"/>
          <w:position w:val="0"/>
          <w:sz w:val="21"/>
          <w:shd w:val="clear" w:color="auto" w:fill="auto"/>
        </w:rPr>
        <w:t>合约详情页</w:t>
      </w:r>
    </w:p>
    <w:p w14:paraId="07E3B71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合约详情:基本信息、编译器版本、合约代码、合约</w:t>
      </w:r>
      <w:r>
        <w:rPr>
          <w:rFonts w:ascii="Calibri" w:hAnsi="Calibri" w:eastAsia="Calibri" w:cs="Calibri"/>
          <w:color w:val="auto"/>
          <w:spacing w:val="0"/>
          <w:position w:val="0"/>
          <w:sz w:val="21"/>
          <w:shd w:val="clear" w:color="auto" w:fill="auto"/>
        </w:rPr>
        <w:t>ABI</w:t>
      </w:r>
      <w:r>
        <w:rPr>
          <w:rFonts w:ascii="宋体" w:hAnsi="宋体" w:eastAsia="宋体" w:cs="宋体"/>
          <w:color w:val="auto"/>
          <w:spacing w:val="0"/>
          <w:position w:val="0"/>
          <w:sz w:val="21"/>
          <w:shd w:val="clear" w:color="auto" w:fill="auto"/>
        </w:rPr>
        <w:t>、字节码。</w:t>
      </w:r>
    </w:p>
    <w:p w14:paraId="017AFB6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C3BBB3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4.8</w:t>
      </w:r>
      <w:r>
        <w:rPr>
          <w:rFonts w:ascii="宋体" w:hAnsi="宋体" w:eastAsia="宋体" w:cs="宋体"/>
          <w:color w:val="auto"/>
          <w:spacing w:val="0"/>
          <w:position w:val="0"/>
          <w:sz w:val="21"/>
          <w:shd w:val="clear" w:color="auto" w:fill="auto"/>
        </w:rPr>
        <w:t>交易详情页</w:t>
      </w:r>
    </w:p>
    <w:p w14:paraId="3933976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概览:交易哈希值、发送人、时间、手续费、状态、接收人、转账金额、所在区块、</w:t>
      </w:r>
      <w:r>
        <w:rPr>
          <w:rFonts w:ascii="Calibri" w:hAnsi="Calibri" w:eastAsia="Calibri" w:cs="Calibri"/>
          <w:color w:val="auto"/>
          <w:spacing w:val="0"/>
          <w:position w:val="0"/>
          <w:sz w:val="21"/>
          <w:shd w:val="clear" w:color="auto" w:fill="auto"/>
        </w:rPr>
        <w:t>GasPrice</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GasLimit</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Nonce</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InputData</w:t>
      </w:r>
      <w:r>
        <w:rPr>
          <w:rFonts w:ascii="宋体" w:hAnsi="宋体" w:eastAsia="宋体" w:cs="宋体"/>
          <w:color w:val="auto"/>
          <w:spacing w:val="0"/>
          <w:position w:val="0"/>
          <w:sz w:val="21"/>
          <w:shd w:val="clear" w:color="auto" w:fill="auto"/>
        </w:rPr>
        <w:t>。</w:t>
      </w:r>
    </w:p>
    <w:p w14:paraId="067E12D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2DC73E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4.9</w:t>
      </w:r>
      <w:r>
        <w:rPr>
          <w:rFonts w:ascii="宋体" w:hAnsi="宋体" w:eastAsia="宋体" w:cs="宋体"/>
          <w:color w:val="auto"/>
          <w:spacing w:val="0"/>
          <w:position w:val="0"/>
          <w:sz w:val="21"/>
          <w:shd w:val="clear" w:color="auto" w:fill="auto"/>
        </w:rPr>
        <w:t>区块详情页</w:t>
      </w:r>
    </w:p>
    <w:p w14:paraId="4078A58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区块详情:区块哈希值、区块大小、区块高度、出块奖励、创建时间、出块者、交易、</w:t>
      </w:r>
      <w:r>
        <w:rPr>
          <w:rFonts w:ascii="Calibri" w:hAnsi="Calibri" w:eastAsia="Calibri" w:cs="Calibri"/>
          <w:color w:val="auto"/>
          <w:spacing w:val="0"/>
          <w:position w:val="0"/>
          <w:sz w:val="21"/>
          <w:shd w:val="clear" w:color="auto" w:fill="auto"/>
        </w:rPr>
        <w:t>Gas</w:t>
      </w:r>
      <w:r>
        <w:rPr>
          <w:rFonts w:ascii="宋体" w:hAnsi="宋体" w:eastAsia="宋体" w:cs="宋体"/>
          <w:color w:val="auto"/>
          <w:spacing w:val="0"/>
          <w:position w:val="0"/>
          <w:sz w:val="21"/>
          <w:shd w:val="clear" w:color="auto" w:fill="auto"/>
        </w:rPr>
        <w:t>消耗、</w:t>
      </w:r>
      <w:r>
        <w:rPr>
          <w:rFonts w:ascii="Calibri" w:hAnsi="Calibri" w:eastAsia="Calibri" w:cs="Calibri"/>
          <w:color w:val="auto"/>
          <w:spacing w:val="0"/>
          <w:position w:val="0"/>
          <w:sz w:val="21"/>
          <w:shd w:val="clear" w:color="auto" w:fill="auto"/>
        </w:rPr>
        <w:t>GasLimit</w:t>
      </w:r>
      <w:r>
        <w:rPr>
          <w:rFonts w:ascii="宋体" w:hAnsi="宋体" w:eastAsia="宋体" w:cs="宋体"/>
          <w:color w:val="auto"/>
          <w:spacing w:val="0"/>
          <w:position w:val="0"/>
          <w:sz w:val="21"/>
          <w:shd w:val="clear" w:color="auto" w:fill="auto"/>
        </w:rPr>
        <w:t>。</w:t>
      </w:r>
    </w:p>
    <w:p w14:paraId="277FD1F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D7153A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4.10</w:t>
      </w:r>
      <w:r>
        <w:rPr>
          <w:rFonts w:ascii="宋体" w:hAnsi="宋体" w:eastAsia="宋体" w:cs="宋体"/>
          <w:color w:val="auto"/>
          <w:spacing w:val="0"/>
          <w:position w:val="0"/>
          <w:sz w:val="21"/>
          <w:shd w:val="clear" w:color="auto" w:fill="auto"/>
        </w:rPr>
        <w:t>代币详情页</w:t>
      </w:r>
    </w:p>
    <w:p w14:paraId="058C243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代币详情页:代币详情页比合约详情页增加‘持有者’部分、前</w:t>
      </w:r>
      <w:r>
        <w:rPr>
          <w:rFonts w:ascii="Calibri" w:hAnsi="Calibri" w:eastAsia="Calibri" w:cs="Calibri"/>
          <w:color w:val="auto"/>
          <w:spacing w:val="0"/>
          <w:position w:val="0"/>
          <w:sz w:val="21"/>
          <w:shd w:val="clear" w:color="auto" w:fill="auto"/>
        </w:rPr>
        <w:t>500</w:t>
      </w:r>
      <w:r>
        <w:rPr>
          <w:rFonts w:ascii="宋体" w:hAnsi="宋体" w:eastAsia="宋体" w:cs="宋体"/>
          <w:color w:val="auto"/>
          <w:spacing w:val="0"/>
          <w:position w:val="0"/>
          <w:sz w:val="21"/>
          <w:shd w:val="clear" w:color="auto" w:fill="auto"/>
        </w:rPr>
        <w:t>名持有者、序号、地址、数量、占比、价值。</w:t>
      </w:r>
    </w:p>
    <w:p w14:paraId="057D0C4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FDC176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5.L2</w:t>
      </w:r>
      <w:r>
        <w:rPr>
          <w:rFonts w:ascii="宋体" w:hAnsi="宋体" w:eastAsia="宋体" w:cs="宋体"/>
          <w:color w:val="auto"/>
          <w:spacing w:val="0"/>
          <w:position w:val="0"/>
          <w:sz w:val="21"/>
          <w:shd w:val="clear" w:color="auto" w:fill="auto"/>
        </w:rPr>
        <w:t>节点</w:t>
      </w:r>
    </w:p>
    <w:p w14:paraId="7BFF3D0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7E5660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5.1</w:t>
      </w:r>
      <w:r>
        <w:rPr>
          <w:rFonts w:ascii="宋体" w:hAnsi="宋体" w:eastAsia="宋体" w:cs="宋体"/>
          <w:color w:val="auto"/>
          <w:spacing w:val="0"/>
          <w:position w:val="0"/>
          <w:sz w:val="21"/>
          <w:shd w:val="clear" w:color="auto" w:fill="auto"/>
        </w:rPr>
        <w:t>扩展节点</w:t>
      </w:r>
    </w:p>
    <w:p w14:paraId="77131DB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功能描述:处理快速结算与数据缓存。</w:t>
      </w:r>
    </w:p>
    <w:p w14:paraId="085FAD3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FFA4B1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模块功能描述</w:t>
      </w:r>
    </w:p>
    <w:p w14:paraId="0648A8D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E16F70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6.1</w:t>
      </w:r>
      <w:r>
        <w:rPr>
          <w:rFonts w:ascii="宋体" w:hAnsi="宋体" w:eastAsia="宋体" w:cs="宋体"/>
          <w:color w:val="auto"/>
          <w:spacing w:val="0"/>
          <w:position w:val="0"/>
          <w:sz w:val="21"/>
          <w:shd w:val="clear" w:color="auto" w:fill="auto"/>
        </w:rPr>
        <w:t>发布任务</w:t>
      </w:r>
    </w:p>
    <w:p w14:paraId="0D1784E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创建任务:创建任务。</w:t>
      </w:r>
    </w:p>
    <w:p w14:paraId="31E740F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铸造担保合约:铸造担保合约。</w:t>
      </w:r>
    </w:p>
    <w:p w14:paraId="1610247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领取任务:领取任务。</w:t>
      </w:r>
    </w:p>
    <w:p w14:paraId="700BD4F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锁定</w:t>
      </w:r>
      <w:r>
        <w:rPr>
          <w:rFonts w:ascii="Calibri" w:hAnsi="Calibri" w:eastAsia="Calibri" w:cs="Calibri"/>
          <w:color w:val="auto"/>
          <w:spacing w:val="0"/>
          <w:position w:val="0"/>
          <w:sz w:val="21"/>
          <w:shd w:val="clear" w:color="auto" w:fill="auto"/>
        </w:rPr>
        <w:t>PCDN</w:t>
      </w:r>
      <w:r>
        <w:rPr>
          <w:rFonts w:ascii="宋体" w:hAnsi="宋体" w:eastAsia="宋体" w:cs="宋体"/>
          <w:color w:val="auto"/>
          <w:spacing w:val="0"/>
          <w:position w:val="0"/>
          <w:sz w:val="21"/>
          <w:shd w:val="clear" w:color="auto" w:fill="auto"/>
        </w:rPr>
        <w:t>节点:任务开始。</w:t>
      </w:r>
    </w:p>
    <w:p w14:paraId="14D433C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任务结算:释放</w:t>
      </w:r>
      <w:r>
        <w:rPr>
          <w:rFonts w:ascii="Calibri" w:hAnsi="Calibri" w:eastAsia="Calibri" w:cs="Calibri"/>
          <w:color w:val="auto"/>
          <w:spacing w:val="0"/>
          <w:position w:val="0"/>
          <w:sz w:val="21"/>
          <w:shd w:val="clear" w:color="auto" w:fill="auto"/>
        </w:rPr>
        <w:t>PCDN</w:t>
      </w:r>
      <w:r>
        <w:rPr>
          <w:rFonts w:ascii="宋体" w:hAnsi="宋体" w:eastAsia="宋体" w:cs="宋体"/>
          <w:color w:val="auto"/>
          <w:spacing w:val="0"/>
          <w:position w:val="0"/>
          <w:sz w:val="21"/>
          <w:shd w:val="clear" w:color="auto" w:fill="auto"/>
        </w:rPr>
        <w:t>节点、执行担保合约、任务详情。</w:t>
      </w:r>
    </w:p>
    <w:p w14:paraId="145632D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032D4B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6.2</w:t>
      </w:r>
      <w:r>
        <w:rPr>
          <w:rFonts w:ascii="宋体" w:hAnsi="宋体" w:eastAsia="宋体" w:cs="宋体"/>
          <w:color w:val="auto"/>
          <w:spacing w:val="0"/>
          <w:position w:val="0"/>
          <w:sz w:val="21"/>
          <w:shd w:val="clear" w:color="auto" w:fill="auto"/>
        </w:rPr>
        <w:t>后台系统</w:t>
      </w:r>
    </w:p>
    <w:p w14:paraId="7B538E3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任务查询:任务查询。</w:t>
      </w:r>
    </w:p>
    <w:p w14:paraId="552F8D1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EF992B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6.3</w:t>
      </w:r>
      <w:r>
        <w:rPr>
          <w:rFonts w:ascii="宋体" w:hAnsi="宋体" w:eastAsia="宋体" w:cs="宋体"/>
          <w:color w:val="auto"/>
          <w:spacing w:val="0"/>
          <w:position w:val="0"/>
          <w:sz w:val="21"/>
          <w:shd w:val="clear" w:color="auto" w:fill="auto"/>
        </w:rPr>
        <w:t>第三方</w:t>
      </w:r>
      <w:r>
        <w:rPr>
          <w:rFonts w:ascii="Calibri" w:hAnsi="Calibri" w:eastAsia="Calibri" w:cs="Calibri"/>
          <w:color w:val="auto"/>
          <w:spacing w:val="0"/>
          <w:position w:val="0"/>
          <w:sz w:val="21"/>
          <w:shd w:val="clear" w:color="auto" w:fill="auto"/>
        </w:rPr>
        <w:t>PCDN</w:t>
      </w:r>
    </w:p>
    <w:p w14:paraId="20AC44C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任务查询:模块、节点管理、添加节点、删除节点、节点详情。</w:t>
      </w:r>
    </w:p>
    <w:p w14:paraId="781E78B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6EFE70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6.4</w:t>
      </w:r>
      <w:r>
        <w:rPr>
          <w:rFonts w:ascii="宋体" w:hAnsi="宋体" w:eastAsia="宋体" w:cs="宋体"/>
          <w:color w:val="auto"/>
          <w:spacing w:val="0"/>
          <w:position w:val="0"/>
          <w:sz w:val="21"/>
          <w:shd w:val="clear" w:color="auto" w:fill="auto"/>
        </w:rPr>
        <w:t>挖矿程序</w:t>
      </w:r>
    </w:p>
    <w:p w14:paraId="553D6E9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识别用户</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:挖矿程序（算法整理钱包地址下的</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集）识别用户</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w:t>
      </w:r>
    </w:p>
    <w:p w14:paraId="383C5A1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识别用户填入挖矿地址:</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流量显示。</w:t>
      </w:r>
    </w:p>
    <w:p w14:paraId="4433722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该钱包地址收益明细展示:大数据整理求和数据。</w:t>
      </w:r>
    </w:p>
    <w:p w14:paraId="20C42C8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559E97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6.5API</w:t>
      </w:r>
      <w:r>
        <w:rPr>
          <w:rFonts w:ascii="宋体" w:hAnsi="宋体" w:eastAsia="宋体" w:cs="宋体"/>
          <w:color w:val="auto"/>
          <w:spacing w:val="0"/>
          <w:position w:val="0"/>
          <w:sz w:val="21"/>
          <w:shd w:val="clear" w:color="auto" w:fill="auto"/>
        </w:rPr>
        <w:t>对接数据</w:t>
      </w:r>
    </w:p>
    <w:p w14:paraId="17D3AD2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日总收益:</w:t>
      </w:r>
      <w:r>
        <w:rPr>
          <w:rFonts w:ascii="Calibri" w:hAnsi="Calibri" w:eastAsia="Calibri" w:cs="Calibri"/>
          <w:color w:val="auto"/>
          <w:spacing w:val="0"/>
          <w:position w:val="0"/>
          <w:sz w:val="21"/>
          <w:shd w:val="clear" w:color="auto" w:fill="auto"/>
        </w:rPr>
        <w:t>AI</w:t>
      </w:r>
      <w:r>
        <w:rPr>
          <w:rFonts w:ascii="宋体" w:hAnsi="宋体" w:eastAsia="宋体" w:cs="宋体"/>
          <w:color w:val="auto"/>
          <w:spacing w:val="0"/>
          <w:position w:val="0"/>
          <w:sz w:val="21"/>
          <w:shd w:val="clear" w:color="auto" w:fill="auto"/>
        </w:rPr>
        <w:t>系统接入计算。</w:t>
      </w:r>
    </w:p>
    <w:p w14:paraId="6773556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流量明细:破解第三方广告程序集。</w:t>
      </w:r>
    </w:p>
    <w:p w14:paraId="25858AC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516974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6.6IP</w:t>
      </w:r>
      <w:r>
        <w:rPr>
          <w:rFonts w:ascii="宋体" w:hAnsi="宋体" w:eastAsia="宋体" w:cs="宋体"/>
          <w:color w:val="auto"/>
          <w:spacing w:val="0"/>
          <w:position w:val="0"/>
          <w:sz w:val="21"/>
          <w:shd w:val="clear" w:color="auto" w:fill="auto"/>
        </w:rPr>
        <w:t>对应钱包</w:t>
      </w:r>
    </w:p>
    <w:p w14:paraId="79DD35D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大数据整理求和数据:链与第三方数据进行链侨对接。</w:t>
      </w:r>
    </w:p>
    <w:p w14:paraId="4A825F1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617F39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6.7</w:t>
      </w:r>
      <w:r>
        <w:rPr>
          <w:rFonts w:ascii="宋体" w:hAnsi="宋体" w:eastAsia="宋体" w:cs="宋体"/>
          <w:color w:val="auto"/>
          <w:spacing w:val="0"/>
          <w:position w:val="0"/>
          <w:sz w:val="21"/>
          <w:shd w:val="clear" w:color="auto" w:fill="auto"/>
        </w:rPr>
        <w:t>第三方破解</w:t>
      </w:r>
    </w:p>
    <w:p w14:paraId="300CE09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破解第三方广告程序集:自动签到、自动派发收益。</w:t>
      </w:r>
    </w:p>
    <w:p w14:paraId="2A9EE12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6746A2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6.8</w:t>
      </w:r>
      <w:r>
        <w:rPr>
          <w:rFonts w:ascii="宋体" w:hAnsi="宋体" w:eastAsia="宋体" w:cs="宋体"/>
          <w:color w:val="auto"/>
          <w:spacing w:val="0"/>
          <w:position w:val="0"/>
          <w:sz w:val="21"/>
          <w:shd w:val="clear" w:color="auto" w:fill="auto"/>
        </w:rPr>
        <w:t>第三方计费规则权重计算产量</w:t>
      </w:r>
    </w:p>
    <w:p w14:paraId="206715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破解第三方广告程序集:自动签到、自动派发收益。</w:t>
      </w:r>
    </w:p>
    <w:p w14:paraId="044E489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EF71E9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6.9</w:t>
      </w:r>
      <w:r>
        <w:rPr>
          <w:rFonts w:ascii="宋体" w:hAnsi="宋体" w:eastAsia="宋体" w:cs="宋体"/>
          <w:color w:val="auto"/>
          <w:spacing w:val="0"/>
          <w:position w:val="0"/>
          <w:sz w:val="21"/>
          <w:shd w:val="clear" w:color="auto" w:fill="auto"/>
        </w:rPr>
        <w:t>接口对接</w:t>
      </w:r>
    </w:p>
    <w:p w14:paraId="4BB5471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链与第三方数据进行链侨对接:自动签到、自动派发收益。</w:t>
      </w:r>
    </w:p>
    <w:p w14:paraId="0B8ABAD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5962AF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业务池任务机制</w:t>
      </w:r>
    </w:p>
    <w:p w14:paraId="2B67327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功能介绍</w:t>
      </w:r>
    </w:p>
    <w:p w14:paraId="1BF3CDB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业务池是</w:t>
      </w:r>
      <w:r>
        <w:rPr>
          <w:rFonts w:ascii="Calibri" w:hAnsi="Calibri" w:eastAsia="Calibri" w:cs="Calibri"/>
          <w:color w:val="auto"/>
          <w:spacing w:val="0"/>
          <w:position w:val="0"/>
          <w:sz w:val="21"/>
          <w:shd w:val="clear" w:color="auto" w:fill="auto"/>
        </w:rPr>
        <w:t>UtoDePIN</w:t>
      </w:r>
      <w:r>
        <w:rPr>
          <w:rFonts w:ascii="宋体" w:hAnsi="宋体" w:eastAsia="宋体" w:cs="宋体"/>
          <w:color w:val="auto"/>
          <w:spacing w:val="0"/>
          <w:position w:val="0"/>
          <w:sz w:val="21"/>
          <w:shd w:val="clear" w:color="auto" w:fill="auto"/>
        </w:rPr>
        <w:t>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0A104D0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特点分析</w:t>
      </w:r>
    </w:p>
    <w:p w14:paraId="5A2C187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104CCA7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任务创建流程</w:t>
      </w:r>
    </w:p>
    <w:p w14:paraId="1B32366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任务创建始于用户或企业向业务池注入奖金需求，并定义任务目标和规格，包括任务内容、执行要求和完成时间。任务创建后，业务池负责发布任务，并提供详细信息给有兴趣的资源提供者。</w:t>
      </w:r>
    </w:p>
    <w:p w14:paraId="14F13F3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资源贡献者角色</w:t>
      </w:r>
    </w:p>
    <w:p w14:paraId="60DCEEC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资源贡献者在业务池中作为执行者，提供算力、存储和带宽等资源支持任务执行。通过</w:t>
      </w:r>
      <w:r>
        <w:rPr>
          <w:rFonts w:ascii="Calibri" w:hAnsi="Calibri" w:eastAsia="Calibri" w:cs="Calibri"/>
          <w:color w:val="auto"/>
          <w:spacing w:val="0"/>
          <w:position w:val="0"/>
          <w:sz w:val="21"/>
          <w:shd w:val="clear" w:color="auto" w:fill="auto"/>
        </w:rPr>
        <w:t>API</w:t>
      </w:r>
      <w:r>
        <w:rPr>
          <w:rFonts w:ascii="宋体" w:hAnsi="宋体" w:eastAsia="宋体" w:cs="宋体"/>
          <w:color w:val="auto"/>
          <w:spacing w:val="0"/>
          <w:position w:val="0"/>
          <w:sz w:val="21"/>
          <w:shd w:val="clear" w:color="auto" w:fill="auto"/>
        </w:rPr>
        <w:t>界面与业务池交互，贡献资源，参与任务执行，并根据贡献获得奖励。</w:t>
      </w:r>
    </w:p>
    <w:p w14:paraId="2F69B89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资金注入者职责</w:t>
      </w:r>
    </w:p>
    <w:p w14:paraId="30EC66C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资金注入者通常是上游公司或投资者，负责为业务池提供资金支持，支付资源提供者的报酬和费用。根据任务性质和预期结果，向业务池注入资金，并在任务完成后根据表现支付报酬。</w:t>
      </w:r>
    </w:p>
    <w:p w14:paraId="4E7E3BE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任务执行与撤回</w:t>
      </w:r>
    </w:p>
    <w:p w14:paraId="1D3907F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业务池监督任务执行过程，确保任务按既定目标和规格完成。若任务执行中出现问题或需求变更，提供任务撤回机制，允许任务创建者撤回和调整任务。</w:t>
      </w:r>
    </w:p>
    <w:p w14:paraId="2CAA9F1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应用领域</w:t>
      </w:r>
    </w:p>
    <w:p w14:paraId="4B22D9D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业务池应用领域广泛，包括</w:t>
      </w:r>
      <w:r>
        <w:rPr>
          <w:rFonts w:ascii="Calibri" w:hAnsi="Calibri" w:eastAsia="Calibri" w:cs="Calibri"/>
          <w:color w:val="auto"/>
          <w:spacing w:val="0"/>
          <w:position w:val="0"/>
          <w:sz w:val="21"/>
          <w:shd w:val="clear" w:color="auto" w:fill="auto"/>
        </w:rPr>
        <w:t>PCDN</w:t>
      </w:r>
      <w:r>
        <w:rPr>
          <w:rFonts w:ascii="宋体" w:hAnsi="宋体" w:eastAsia="宋体" w:cs="宋体"/>
          <w:color w:val="auto"/>
          <w:spacing w:val="0"/>
          <w:position w:val="0"/>
          <w:sz w:val="21"/>
          <w:shd w:val="clear" w:color="auto" w:fill="auto"/>
        </w:rPr>
        <w:t>加速、服务器加速与深度计算、人工智能等。在不同领域中，业务池通过提高资源管理效率，支持创新和发展。</w:t>
      </w:r>
    </w:p>
    <w:p w14:paraId="0AB2EE5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6DD99F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双向挂单匹配系统（</w:t>
      </w:r>
      <w:r>
        <w:rPr>
          <w:rFonts w:ascii="Calibri" w:hAnsi="Calibri" w:eastAsia="Calibri" w:cs="Calibri"/>
          <w:color w:val="auto"/>
          <w:spacing w:val="0"/>
          <w:position w:val="0"/>
          <w:sz w:val="21"/>
          <w:shd w:val="clear" w:color="auto" w:fill="auto"/>
        </w:rPr>
        <w:t>BidirectionalOrderMatchingSystem,BOMS</w:t>
      </w:r>
      <w:r>
        <w:rPr>
          <w:rFonts w:ascii="宋体" w:hAnsi="宋体" w:eastAsia="宋体" w:cs="宋体"/>
          <w:color w:val="auto"/>
          <w:spacing w:val="0"/>
          <w:position w:val="0"/>
          <w:sz w:val="21"/>
          <w:shd w:val="clear" w:color="auto" w:fill="auto"/>
        </w:rPr>
        <w:t>）</w:t>
      </w:r>
    </w:p>
    <w:p w14:paraId="6C5191F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3458C91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用户界面设计:系统提供界面，允许需求者和节点提供者输入报价和需求。</w:t>
      </w:r>
    </w:p>
    <w:p w14:paraId="571AC21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需求发布:需求者发布任务，明确要求、期望时间和支付价格。</w:t>
      </w:r>
    </w:p>
    <w:p w14:paraId="4C68146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节点报价:节点提供者根据资源情况提交价格报价。</w:t>
      </w:r>
    </w:p>
    <w:p w14:paraId="5B68E4C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智能匹配算法:系统根据需求者价格和节点提供者报价进行匹配。</w:t>
      </w:r>
    </w:p>
    <w:p w14:paraId="7DC1644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双向报价机制:需求者和节点提供者可以双向报价。</w:t>
      </w:r>
    </w:p>
    <w:p w14:paraId="0847446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实时更新与通知:系统实时更新挂单状态，并在匹配成功或新报价时通知用户。</w:t>
      </w:r>
    </w:p>
    <w:p w14:paraId="4C287BC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交易确认与执行:匹配成功后，双方确认交易细节，智能合约自动执行任务分配和资金划拨。</w:t>
      </w:r>
    </w:p>
    <w:p w14:paraId="28833EB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任务进度跟踪:需求者跟踪任务执行进度。</w:t>
      </w:r>
    </w:p>
    <w:p w14:paraId="6258628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评价与反馈机制:任务完成后双方互评。</w:t>
      </w:r>
    </w:p>
    <w:p w14:paraId="118F25A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智能合约保障:所有交易通过区块链智能合约执行，确保透明性、安全性和不可篡改性。</w:t>
      </w:r>
    </w:p>
    <w:p w14:paraId="0D7BB73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纠纷解决机制:提供纠纷解决机制，确保双方权益。</w:t>
      </w:r>
    </w:p>
    <w:p w14:paraId="68FAD92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BOMS</w:t>
      </w:r>
      <w:r>
        <w:rPr>
          <w:rFonts w:ascii="宋体" w:hAnsi="宋体" w:eastAsia="宋体" w:cs="宋体"/>
          <w:color w:val="auto"/>
          <w:spacing w:val="0"/>
          <w:position w:val="0"/>
          <w:sz w:val="21"/>
          <w:shd w:val="clear" w:color="auto" w:fill="auto"/>
        </w:rPr>
        <w:t>通过提供一个高效、透明的任务分配和资源匹配平台，促进需求者和节点提供者之间的交易，提高网络运作效率。</w:t>
      </w:r>
    </w:p>
    <w:p w14:paraId="2F101F3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F553FA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自定义</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计费规则系统（</w:t>
      </w:r>
      <w:r>
        <w:rPr>
          <w:rFonts w:ascii="Calibri" w:hAnsi="Calibri" w:eastAsia="Calibri" w:cs="Calibri"/>
          <w:color w:val="auto"/>
          <w:spacing w:val="0"/>
          <w:position w:val="0"/>
          <w:sz w:val="21"/>
          <w:shd w:val="clear" w:color="auto" w:fill="auto"/>
        </w:rPr>
        <w:t>Customized95BillingRuleSystem,C95BRS</w:t>
      </w:r>
      <w:r>
        <w:rPr>
          <w:rFonts w:ascii="宋体" w:hAnsi="宋体" w:eastAsia="宋体" w:cs="宋体"/>
          <w:color w:val="auto"/>
          <w:spacing w:val="0"/>
          <w:position w:val="0"/>
          <w:sz w:val="21"/>
          <w:shd w:val="clear" w:color="auto" w:fill="auto"/>
        </w:rPr>
        <w:t>）</w:t>
      </w:r>
    </w:p>
    <w:p w14:paraId="51D05B0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1D7444B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 任务池与资金池独立管理:</w:t>
      </w:r>
    </w:p>
    <w:p w14:paraId="23811D4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每个项目方拥有独立的任务池和任务资金池，确保资金的专款专用和任务的独立管理。</w:t>
      </w:r>
    </w:p>
    <w:p w14:paraId="6870AA5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 时段定义与权重分配:</w:t>
      </w:r>
    </w:p>
    <w:p w14:paraId="27DDB57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项目方可以根据自身业务特点定义不同的高峰时段，并为这些时段分配不同的权重，以反映不同时间段的重要性和成本。</w:t>
      </w:r>
    </w:p>
    <w:p w14:paraId="7376311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 带宽使用量记录与处理:</w:t>
      </w:r>
    </w:p>
    <w:p w14:paraId="2EB7AAA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系统会定期记录带宽使用量，并在高峰时段进行特别的处理，如降序排列和数据筛选，以确定计费带宽量。</w:t>
      </w:r>
    </w:p>
    <w:p w14:paraId="2E245BF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 自定义计费公式编写:</w:t>
      </w:r>
    </w:p>
    <w:p w14:paraId="5485C0C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项目方可以根据自己的需求编写计费公式，以适应不同的业务模式和成本结构。</w:t>
      </w:r>
    </w:p>
    <w:p w14:paraId="2E19F44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 系数应用与日积分计算:</w:t>
      </w:r>
    </w:p>
    <w:p w14:paraId="4F0084F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使用项目方定义的运营商系数和设备系数，结合设备在线时长，计算日积分。</w:t>
      </w:r>
    </w:p>
    <w:p w14:paraId="4CC5D62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 收益计算与分配:</w:t>
      </w:r>
    </w:p>
    <w:p w14:paraId="4FAA2C6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根据日积分和高峰时段的权重，计算项目方在高峰时段的收益，并按照自定义规则进行分配。</w:t>
      </w:r>
    </w:p>
    <w:p w14:paraId="7C5A31E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 在线时长要求:</w:t>
      </w:r>
    </w:p>
    <w:p w14:paraId="4030A58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为了保证计费的准确性，设备需要保持全天在线。</w:t>
      </w:r>
    </w:p>
    <w:p w14:paraId="3E123D4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w:t>
      </w:r>
      <w:r>
        <w:rPr>
          <w:rFonts w:ascii="宋体" w:hAnsi="宋体" w:eastAsia="宋体" w:cs="宋体"/>
          <w:color w:val="auto"/>
          <w:spacing w:val="0"/>
          <w:position w:val="0"/>
          <w:sz w:val="21"/>
          <w:shd w:val="clear" w:color="auto" w:fill="auto"/>
        </w:rPr>
        <w:t> 灵活的计费策略:</w:t>
      </w:r>
    </w:p>
    <w:p w14:paraId="2F9E60C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项目方可以根据自身业务的高峰时段和需求，灵活设置限速和结算比例，如</w:t>
      </w:r>
      <w:r>
        <w:rPr>
          <w:rFonts w:ascii="Calibri" w:hAnsi="Calibri" w:eastAsia="Calibri" w:cs="Calibri"/>
          <w:color w:val="auto"/>
          <w:spacing w:val="0"/>
          <w:position w:val="0"/>
          <w:sz w:val="21"/>
          <w:shd w:val="clear" w:color="auto" w:fill="auto"/>
        </w:rPr>
        <w:t>30%~50%</w:t>
      </w:r>
      <w:r>
        <w:rPr>
          <w:rFonts w:ascii="宋体" w:hAnsi="宋体" w:eastAsia="宋体" w:cs="宋体"/>
          <w:color w:val="auto"/>
          <w:spacing w:val="0"/>
          <w:position w:val="0"/>
          <w:sz w:val="21"/>
          <w:shd w:val="clear" w:color="auto" w:fill="auto"/>
        </w:rPr>
        <w:t>的收益分配。</w:t>
      </w:r>
    </w:p>
    <w:p w14:paraId="2C7D9A5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9.</w:t>
      </w:r>
      <w:r>
        <w:rPr>
          <w:rFonts w:ascii="宋体" w:hAnsi="宋体" w:eastAsia="宋体" w:cs="宋体"/>
          <w:color w:val="auto"/>
          <w:spacing w:val="0"/>
          <w:position w:val="0"/>
          <w:sz w:val="21"/>
          <w:shd w:val="clear" w:color="auto" w:fill="auto"/>
        </w:rPr>
        <w:t> 风险与收益评估:</w:t>
      </w:r>
    </w:p>
    <w:p w14:paraId="51EA4AB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项目方需要评估自定义计费规则可能带来的风险和收益，确保计费系统的可持续性和公平性。</w:t>
      </w:r>
    </w:p>
    <w:p w14:paraId="3803E45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10.</w:t>
      </w:r>
      <w:r>
        <w:rPr>
          <w:rFonts w:ascii="宋体" w:hAnsi="宋体" w:eastAsia="宋体" w:cs="宋体"/>
          <w:color w:val="auto"/>
          <w:spacing w:val="0"/>
          <w:position w:val="0"/>
          <w:sz w:val="21"/>
          <w:shd w:val="clear" w:color="auto" w:fill="auto"/>
        </w:rPr>
        <w:t> 用户界面与反馈:</w:t>
      </w:r>
    </w:p>
    <w:p w14:paraId="69336DD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提供用户界面，使项目方能够轻松设置和管理自己的</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计费规则，并接收用户反馈以优化计费策略。</w:t>
      </w:r>
    </w:p>
    <w:p w14:paraId="3299A73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通过</w:t>
      </w:r>
      <w:r>
        <w:rPr>
          <w:rFonts w:ascii="Calibri" w:hAnsi="Calibri" w:eastAsia="Calibri" w:cs="Calibri"/>
          <w:color w:val="auto"/>
          <w:spacing w:val="0"/>
          <w:position w:val="0"/>
          <w:sz w:val="21"/>
          <w:shd w:val="clear" w:color="auto" w:fill="auto"/>
        </w:rPr>
        <w:t>C95BRS</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UtoDePIN</w:t>
      </w:r>
      <w:r>
        <w:rPr>
          <w:rFonts w:ascii="宋体" w:hAnsi="宋体" w:eastAsia="宋体" w:cs="宋体"/>
          <w:color w:val="auto"/>
          <w:spacing w:val="0"/>
          <w:position w:val="0"/>
          <w:sz w:val="21"/>
          <w:shd w:val="clear" w:color="auto" w:fill="auto"/>
        </w:rPr>
        <w:t>网络为不同的项目方提供了高度定制化的计费解决方案，以适应多样化的业务需求和市场条件。</w:t>
      </w:r>
    </w:p>
    <w:p w14:paraId="3449437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0291EA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区块链云盘板块</w:t>
      </w:r>
    </w:p>
    <w:p w14:paraId="2C6D960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9750B5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7.1</w:t>
      </w:r>
      <w:r>
        <w:rPr>
          <w:rFonts w:ascii="宋体" w:hAnsi="宋体" w:eastAsia="宋体" w:cs="宋体"/>
          <w:color w:val="auto"/>
          <w:spacing w:val="0"/>
          <w:position w:val="0"/>
          <w:sz w:val="21"/>
          <w:shd w:val="clear" w:color="auto" w:fill="auto"/>
        </w:rPr>
        <w:t>功能描述</w:t>
      </w:r>
    </w:p>
    <w:p w14:paraId="7C38D34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上传:用户可以将本地文件上传到云盘，支持断点续传和大文件上传。</w:t>
      </w:r>
    </w:p>
    <w:p w14:paraId="0B3465B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下载:用户可以下载云盘中的文件，支持多线程下载以提高速度。</w:t>
      </w:r>
    </w:p>
    <w:p w14:paraId="371A6F6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播放视频:云盘内的视频文件可以直接在线播放，无需下载。</w:t>
      </w:r>
    </w:p>
    <w:p w14:paraId="7429A56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外链分享:用户可以生成文件的外链，方便分享给其他人。</w:t>
      </w:r>
    </w:p>
    <w:p w14:paraId="1241169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版本控制:云盘支持文件版本控制，可以查看和恢复旧版本的文件。</w:t>
      </w:r>
    </w:p>
    <w:p w14:paraId="50E6E3C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加密存储:所有文件在上传前都会进行加密处理，确保数据安全。</w:t>
      </w:r>
    </w:p>
    <w:p w14:paraId="05C3A27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智能分类:云盘可以自动识别文件类型，并进行智能分类。</w:t>
      </w:r>
    </w:p>
    <w:p w14:paraId="7A33060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多设备同步:</w:t>
      </w:r>
    </w:p>
    <w:p w14:paraId="7478CC6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5CB558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智能搜索:提供强大的搜索功能，可以快速找到需要的文件。</w:t>
      </w:r>
    </w:p>
    <w:p w14:paraId="2AA4E36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多媒体预览:支持图片、音频和视频文件的预览功能。</w:t>
      </w:r>
    </w:p>
    <w:p w14:paraId="19CBE33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回收站:删除的文件会被放入回收站，用户可以在一定时间内恢复。</w:t>
      </w:r>
    </w:p>
    <w:p w14:paraId="2854FE8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711027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08C98F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8.Uto</w:t>
      </w:r>
      <w:r>
        <w:rPr>
          <w:rFonts w:ascii="宋体" w:hAnsi="宋体" w:eastAsia="宋体" w:cs="宋体"/>
          <w:color w:val="auto"/>
          <w:spacing w:val="0"/>
          <w:position w:val="0"/>
          <w:sz w:val="21"/>
          <w:shd w:val="clear" w:color="auto" w:fill="auto"/>
        </w:rPr>
        <w:t>铸造合约</w:t>
      </w:r>
    </w:p>
    <w:p w14:paraId="6631E25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02AA6E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晚高峰日</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计费系统</w:t>
      </w:r>
    </w:p>
    <w:p w14:paraId="003128F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3CCF9F9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 时段定义:系统将每天的</w:t>
      </w:r>
      <w:r>
        <w:rPr>
          <w:rFonts w:ascii="Calibri" w:hAnsi="Calibri" w:eastAsia="Calibri" w:cs="Calibri"/>
          <w:color w:val="auto"/>
          <w:spacing w:val="0"/>
          <w:position w:val="0"/>
          <w:sz w:val="21"/>
          <w:shd w:val="clear" w:color="auto" w:fill="auto"/>
        </w:rPr>
        <w:t>18:00</w:t>
      </w:r>
      <w:r>
        <w:rPr>
          <w:rFonts w:ascii="宋体" w:hAnsi="宋体" w:eastAsia="宋体" w:cs="宋体"/>
          <w:color w:val="auto"/>
          <w:spacing w:val="0"/>
          <w:position w:val="0"/>
          <w:sz w:val="21"/>
          <w:shd w:val="clear" w:color="auto" w:fill="auto"/>
        </w:rPr>
        <w:t>至</w:t>
      </w:r>
      <w:r>
        <w:rPr>
          <w:rFonts w:ascii="Calibri" w:hAnsi="Calibri" w:eastAsia="Calibri" w:cs="Calibri"/>
          <w:color w:val="auto"/>
          <w:spacing w:val="0"/>
          <w:position w:val="0"/>
          <w:sz w:val="21"/>
          <w:shd w:val="clear" w:color="auto" w:fill="auto"/>
        </w:rPr>
        <w:t>23:59</w:t>
      </w:r>
      <w:r>
        <w:rPr>
          <w:rFonts w:ascii="宋体" w:hAnsi="宋体" w:eastAsia="宋体" w:cs="宋体"/>
          <w:color w:val="auto"/>
          <w:spacing w:val="0"/>
          <w:position w:val="0"/>
          <w:sz w:val="21"/>
          <w:shd w:val="clear" w:color="auto" w:fill="auto"/>
        </w:rPr>
        <w:t>定义为晚高峰时段，共计</w:t>
      </w: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小时。</w:t>
      </w:r>
    </w:p>
    <w:p w14:paraId="430AF7A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 取样点记录:系统每</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分钟记录一次带宽使用量，全天共记录</w:t>
      </w:r>
      <w:r>
        <w:rPr>
          <w:rFonts w:ascii="Calibri" w:hAnsi="Calibri" w:eastAsia="Calibri" w:cs="Calibri"/>
          <w:color w:val="auto"/>
          <w:spacing w:val="0"/>
          <w:position w:val="0"/>
          <w:sz w:val="21"/>
          <w:shd w:val="clear" w:color="auto" w:fill="auto"/>
        </w:rPr>
        <w:t>288</w:t>
      </w:r>
      <w:r>
        <w:rPr>
          <w:rFonts w:ascii="宋体" w:hAnsi="宋体" w:eastAsia="宋体" w:cs="宋体"/>
          <w:color w:val="auto"/>
          <w:spacing w:val="0"/>
          <w:position w:val="0"/>
          <w:sz w:val="21"/>
          <w:shd w:val="clear" w:color="auto" w:fill="auto"/>
        </w:rPr>
        <w:t>个点，晚高峰时段记录</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个点。</w:t>
      </w:r>
    </w:p>
    <w:p w14:paraId="649E83D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 晚高峰时段处理:在晚高峰时段的</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个带宽使用量点中，进行降序排列。</w:t>
      </w:r>
    </w:p>
    <w:p w14:paraId="391654F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 数据筛选:从晚高峰时段的带宽使用量点中，去掉前</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（即</w:t>
      </w: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个点）。</w:t>
      </w:r>
    </w:p>
    <w:p w14:paraId="7AA5FCC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 计费带宽量确定:在剩余的带宽使用量点中，选择最高的一个点的带宽使用量作为计费带宽量</w:t>
      </w:r>
      <w:r>
        <w:rPr>
          <w:rFonts w:ascii="Calibri" w:hAnsi="Calibri" w:eastAsia="Calibri" w:cs="Calibri"/>
          <w:color w:val="auto"/>
          <w:spacing w:val="0"/>
          <w:position w:val="0"/>
          <w:sz w:val="21"/>
          <w:shd w:val="clear" w:color="auto" w:fill="auto"/>
        </w:rPr>
        <w:t>B</w:t>
      </w:r>
      <w:r>
        <w:rPr>
          <w:rFonts w:ascii="宋体" w:hAnsi="宋体" w:eastAsia="宋体" w:cs="宋体"/>
          <w:color w:val="auto"/>
          <w:spacing w:val="0"/>
          <w:position w:val="0"/>
          <w:sz w:val="21"/>
          <w:shd w:val="clear" w:color="auto" w:fill="auto"/>
        </w:rPr>
        <w:t>。</w:t>
      </w:r>
    </w:p>
    <w:p w14:paraId="0B61B7E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 系数应用:使用运营商系数</w:t>
      </w:r>
      <w:r>
        <w:rPr>
          <w:rFonts w:ascii="Calibri" w:hAnsi="Calibri" w:eastAsia="Calibri" w:cs="Calibri"/>
          <w:color w:val="auto"/>
          <w:spacing w:val="0"/>
          <w:position w:val="0"/>
          <w:sz w:val="21"/>
          <w:shd w:val="clear" w:color="auto" w:fill="auto"/>
        </w:rPr>
        <w:t>C</w:t>
      </w:r>
      <w:r>
        <w:rPr>
          <w:rFonts w:ascii="宋体" w:hAnsi="宋体" w:eastAsia="宋体" w:cs="宋体"/>
          <w:color w:val="auto"/>
          <w:spacing w:val="0"/>
          <w:position w:val="0"/>
          <w:sz w:val="21"/>
          <w:shd w:val="clear" w:color="auto" w:fill="auto"/>
        </w:rPr>
        <w:t>和设备系数</w:t>
      </w:r>
      <w:r>
        <w:rPr>
          <w:rFonts w:ascii="Calibri" w:hAnsi="Calibri" w:eastAsia="Calibri" w:cs="Calibri"/>
          <w:color w:val="auto"/>
          <w:spacing w:val="0"/>
          <w:position w:val="0"/>
          <w:sz w:val="21"/>
          <w:shd w:val="clear" w:color="auto" w:fill="auto"/>
        </w:rPr>
        <w:t>D</w:t>
      </w:r>
      <w:r>
        <w:rPr>
          <w:rFonts w:ascii="宋体" w:hAnsi="宋体" w:eastAsia="宋体" w:cs="宋体"/>
          <w:color w:val="auto"/>
          <w:spacing w:val="0"/>
          <w:position w:val="0"/>
          <w:sz w:val="21"/>
          <w:shd w:val="clear" w:color="auto" w:fill="auto"/>
        </w:rPr>
        <w:t>，以及设备在线时长</w:t>
      </w:r>
      <w:r>
        <w:rPr>
          <w:rFonts w:ascii="Calibri" w:hAnsi="Calibri" w:eastAsia="Calibri" w:cs="Calibri"/>
          <w:color w:val="auto"/>
          <w:spacing w:val="0"/>
          <w:position w:val="0"/>
          <w:sz w:val="21"/>
          <w:shd w:val="clear" w:color="auto" w:fill="auto"/>
        </w:rPr>
        <w:t>T</w:t>
      </w:r>
      <w:r>
        <w:rPr>
          <w:rFonts w:ascii="宋体" w:hAnsi="宋体" w:eastAsia="宋体" w:cs="宋体"/>
          <w:color w:val="auto"/>
          <w:spacing w:val="0"/>
          <w:position w:val="0"/>
          <w:sz w:val="21"/>
          <w:shd w:val="clear" w:color="auto" w:fill="auto"/>
        </w:rPr>
        <w:t>，来计算日积分。</w:t>
      </w:r>
    </w:p>
    <w:p w14:paraId="441BFAE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 日积分计算:根据日</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计费公式</w:t>
      </w:r>
      <w:r>
        <w:rPr>
          <w:rFonts w:ascii="Calibri" w:hAnsi="Calibri" w:eastAsia="Calibri" w:cs="Calibri"/>
          <w:color w:val="auto"/>
          <w:spacing w:val="0"/>
          <w:position w:val="0"/>
          <w:sz w:val="21"/>
          <w:shd w:val="clear" w:color="auto" w:fill="auto"/>
        </w:rPr>
        <w:t>\text</w:t>
      </w:r>
      <w:r>
        <w:rPr>
          <w:rFonts w:hint="eastAsia" w:cs="Calibri"/>
          <w:color w:val="auto"/>
          <w:spacing w:val="0"/>
          <w:position w:val="0"/>
          <w:sz w:val="21"/>
          <w:shd w:val="clear" w:color="auto" w:fill="auto"/>
          <w:lang w:eastAsia="zh-CN"/>
        </w:rPr>
        <w:t>(</w:t>
      </w:r>
      <w:r>
        <w:rPr>
          <w:rFonts w:ascii="宋体" w:hAnsi="宋体" w:eastAsia="宋体" w:cs="宋体"/>
          <w:color w:val="auto"/>
          <w:spacing w:val="0"/>
          <w:position w:val="0"/>
          <w:sz w:val="21"/>
          <w:shd w:val="clear" w:color="auto" w:fill="auto"/>
        </w:rPr>
        <w:t>日积分</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=B\timesC\timesD\times\left(\frac</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T</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24</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\right)</w:t>
      </w:r>
      <w:r>
        <w:rPr>
          <w:rFonts w:ascii="宋体" w:hAnsi="宋体" w:eastAsia="宋体" w:cs="宋体"/>
          <w:color w:val="auto"/>
          <w:spacing w:val="0"/>
          <w:position w:val="0"/>
          <w:sz w:val="21"/>
          <w:shd w:val="clear" w:color="auto" w:fill="auto"/>
        </w:rPr>
        <w:t>进行计算。</w:t>
      </w:r>
    </w:p>
    <w:p w14:paraId="119B4E1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w:t>
      </w:r>
      <w:r>
        <w:rPr>
          <w:rFonts w:ascii="宋体" w:hAnsi="宋体" w:eastAsia="宋体" w:cs="宋体"/>
          <w:color w:val="auto"/>
          <w:spacing w:val="0"/>
          <w:position w:val="0"/>
          <w:sz w:val="21"/>
          <w:shd w:val="clear" w:color="auto" w:fill="auto"/>
        </w:rPr>
        <w:t> 权重分配:晚高峰时段的权重设置为最高，通常超过</w:t>
      </w:r>
      <w:r>
        <w:rPr>
          <w:rFonts w:ascii="Calibri" w:hAnsi="Calibri" w:eastAsia="Calibri" w:cs="Calibri"/>
          <w:color w:val="auto"/>
          <w:spacing w:val="0"/>
          <w:position w:val="0"/>
          <w:sz w:val="21"/>
          <w:shd w:val="clear" w:color="auto" w:fill="auto"/>
        </w:rPr>
        <w:t>90%</w:t>
      </w:r>
      <w:r>
        <w:rPr>
          <w:rFonts w:ascii="宋体" w:hAnsi="宋体" w:eastAsia="宋体" w:cs="宋体"/>
          <w:color w:val="auto"/>
          <w:spacing w:val="0"/>
          <w:position w:val="0"/>
          <w:sz w:val="21"/>
          <w:shd w:val="clear" w:color="auto" w:fill="auto"/>
        </w:rPr>
        <w:t>，以确保收益最大化。</w:t>
      </w:r>
    </w:p>
    <w:p w14:paraId="7939F6D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9.</w:t>
      </w:r>
      <w:r>
        <w:rPr>
          <w:rFonts w:ascii="宋体" w:hAnsi="宋体" w:eastAsia="宋体" w:cs="宋体"/>
          <w:color w:val="auto"/>
          <w:spacing w:val="0"/>
          <w:position w:val="0"/>
          <w:sz w:val="21"/>
          <w:shd w:val="clear" w:color="auto" w:fill="auto"/>
        </w:rPr>
        <w:t> 在线时长要求:设备需要保持全天在线，以确保计费的准确性。</w:t>
      </w:r>
    </w:p>
    <w:p w14:paraId="08BF114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具体计算步骤:</w:t>
      </w:r>
    </w:p>
    <w:p w14:paraId="3AD4367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 记录带宽使用量:系统每</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分钟记录一次带宽使用量，全天共记录</w:t>
      </w:r>
      <w:r>
        <w:rPr>
          <w:rFonts w:ascii="Calibri" w:hAnsi="Calibri" w:eastAsia="Calibri" w:cs="Calibri"/>
          <w:color w:val="auto"/>
          <w:spacing w:val="0"/>
          <w:position w:val="0"/>
          <w:sz w:val="21"/>
          <w:shd w:val="clear" w:color="auto" w:fill="auto"/>
        </w:rPr>
        <w:t>288</w:t>
      </w:r>
      <w:r>
        <w:rPr>
          <w:rFonts w:ascii="宋体" w:hAnsi="宋体" w:eastAsia="宋体" w:cs="宋体"/>
          <w:color w:val="auto"/>
          <w:spacing w:val="0"/>
          <w:position w:val="0"/>
          <w:sz w:val="21"/>
          <w:shd w:val="clear" w:color="auto" w:fill="auto"/>
        </w:rPr>
        <w:t>次。</w:t>
      </w:r>
    </w:p>
    <w:p w14:paraId="78346F2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 晚高峰时段记录:在晚高峰时段（</w:t>
      </w:r>
      <w:r>
        <w:rPr>
          <w:rFonts w:ascii="Calibri" w:hAnsi="Calibri" w:eastAsia="Calibri" w:cs="Calibri"/>
          <w:color w:val="auto"/>
          <w:spacing w:val="0"/>
          <w:position w:val="0"/>
          <w:sz w:val="21"/>
          <w:shd w:val="clear" w:color="auto" w:fill="auto"/>
        </w:rPr>
        <w:t>18:00</w:t>
      </w:r>
      <w:r>
        <w:rPr>
          <w:rFonts w:ascii="宋体" w:hAnsi="宋体" w:eastAsia="宋体" w:cs="宋体"/>
          <w:color w:val="auto"/>
          <w:spacing w:val="0"/>
          <w:position w:val="0"/>
          <w:sz w:val="21"/>
          <w:shd w:val="clear" w:color="auto" w:fill="auto"/>
        </w:rPr>
        <w:t>至</w:t>
      </w:r>
      <w:r>
        <w:rPr>
          <w:rFonts w:ascii="Calibri" w:hAnsi="Calibri" w:eastAsia="Calibri" w:cs="Calibri"/>
          <w:color w:val="auto"/>
          <w:spacing w:val="0"/>
          <w:position w:val="0"/>
          <w:sz w:val="21"/>
          <w:shd w:val="clear" w:color="auto" w:fill="auto"/>
        </w:rPr>
        <w:t>23:59</w:t>
      </w:r>
      <w:r>
        <w:rPr>
          <w:rFonts w:ascii="宋体" w:hAnsi="宋体" w:eastAsia="宋体" w:cs="宋体"/>
          <w:color w:val="auto"/>
          <w:spacing w:val="0"/>
          <w:position w:val="0"/>
          <w:sz w:val="21"/>
          <w:shd w:val="clear" w:color="auto" w:fill="auto"/>
        </w:rPr>
        <w:t>）内，记录</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次带宽使用量。</w:t>
      </w:r>
    </w:p>
    <w:p w14:paraId="2ED0D5A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 排序带宽使用量:将晚高峰时段的</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个带宽使用量点按照降序排列。</w:t>
      </w:r>
    </w:p>
    <w:p w14:paraId="46FCE59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 去除前</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点:从排列好的带宽使用量点中去除前</w:t>
      </w: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个点。</w:t>
      </w:r>
    </w:p>
    <w:p w14:paraId="56BD1A0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 选择最大带宽使用量:选择去除后的带宽使用量点中的最大值作为</w:t>
      </w:r>
      <w:r>
        <w:rPr>
          <w:rFonts w:ascii="Calibri" w:hAnsi="Calibri" w:eastAsia="Calibri" w:cs="Calibri"/>
          <w:color w:val="auto"/>
          <w:spacing w:val="0"/>
          <w:position w:val="0"/>
          <w:sz w:val="21"/>
          <w:shd w:val="clear" w:color="auto" w:fill="auto"/>
        </w:rPr>
        <w:t>B</w:t>
      </w:r>
      <w:r>
        <w:rPr>
          <w:rFonts w:ascii="宋体" w:hAnsi="宋体" w:eastAsia="宋体" w:cs="宋体"/>
          <w:color w:val="auto"/>
          <w:spacing w:val="0"/>
          <w:position w:val="0"/>
          <w:sz w:val="21"/>
          <w:shd w:val="clear" w:color="auto" w:fill="auto"/>
        </w:rPr>
        <w:t>。</w:t>
      </w:r>
    </w:p>
    <w:p w14:paraId="20CC7B6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 计算日积分:使用公式</w:t>
      </w:r>
      <w:r>
        <w:rPr>
          <w:rFonts w:ascii="Calibri" w:hAnsi="Calibri" w:eastAsia="Calibri" w:cs="Calibri"/>
          <w:color w:val="auto"/>
          <w:spacing w:val="0"/>
          <w:position w:val="0"/>
          <w:sz w:val="21"/>
          <w:shd w:val="clear" w:color="auto" w:fill="auto"/>
        </w:rPr>
        <w:t>\text</w:t>
      </w:r>
      <w:r>
        <w:rPr>
          <w:rFonts w:hint="eastAsia" w:cs="Calibri"/>
          <w:color w:val="auto"/>
          <w:spacing w:val="0"/>
          <w:position w:val="0"/>
          <w:sz w:val="21"/>
          <w:shd w:val="clear" w:color="auto" w:fill="auto"/>
          <w:lang w:eastAsia="zh-CN"/>
        </w:rPr>
        <w:t>(</w:t>
      </w:r>
      <w:r>
        <w:rPr>
          <w:rFonts w:ascii="宋体" w:hAnsi="宋体" w:eastAsia="宋体" w:cs="宋体"/>
          <w:color w:val="auto"/>
          <w:spacing w:val="0"/>
          <w:position w:val="0"/>
          <w:sz w:val="21"/>
          <w:shd w:val="clear" w:color="auto" w:fill="auto"/>
        </w:rPr>
        <w:t>日积分</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=B\timesC\timesD\times\left(\frac</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T</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24</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\right)</w:t>
      </w:r>
      <w:r>
        <w:rPr>
          <w:rFonts w:ascii="宋体" w:hAnsi="宋体" w:eastAsia="宋体" w:cs="宋体"/>
          <w:color w:val="auto"/>
          <w:spacing w:val="0"/>
          <w:position w:val="0"/>
          <w:sz w:val="21"/>
          <w:shd w:val="clear" w:color="auto" w:fill="auto"/>
        </w:rPr>
        <w:t>计算日积分。</w:t>
      </w:r>
    </w:p>
    <w:p w14:paraId="3DE2ECA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 计算收益:根据日积分和晚高峰权重，计算设备在晚高峰时段的收益。</w:t>
      </w:r>
    </w:p>
    <w:p w14:paraId="0D61355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w:t>
      </w:r>
      <w:r>
        <w:rPr>
          <w:rFonts w:ascii="宋体" w:hAnsi="宋体" w:eastAsia="宋体" w:cs="宋体"/>
          <w:color w:val="auto"/>
          <w:spacing w:val="0"/>
          <w:position w:val="0"/>
          <w:sz w:val="21"/>
          <w:shd w:val="clear" w:color="auto" w:fill="auto"/>
        </w:rPr>
        <w:t> 保持在线:确保设备在非晚高峰时段也保持在线，以满足计费需求。</w:t>
      </w:r>
    </w:p>
    <w:p w14:paraId="0582A064">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188EE685">
      <w:p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ascii="宋体" w:hAnsi="宋体" w:eastAsia="宋体" w:cs="宋体"/>
          <w:color w:val="auto"/>
          <w:spacing w:val="0"/>
          <w:position w:val="0"/>
          <w:sz w:val="21"/>
          <w:shd w:val="clear" w:color="auto" w:fill="auto"/>
        </w:rPr>
        <w:t>显示节点当天现金收益</w:t>
      </w:r>
    </w:p>
    <w:p w14:paraId="4AD3FCDA">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22488E06">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PCDN节点矿池机制：</w:t>
      </w:r>
    </w:p>
    <w:p w14:paraId="5E70D49B">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1. 矿池聚合： 在PCDN节点矿池机制中，小节点用户将他们的资源集中到一个矿池中，共同参与挖矿活动。</w:t>
      </w:r>
    </w:p>
    <w:p w14:paraId="3F79CE48">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2. 累计购买： 矿池会累积用户的贡献，直到总金额达到可以购买一枚代币的价值。</w:t>
      </w:r>
    </w:p>
    <w:p w14:paraId="5AF5AA0E">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3. 奖励计算： 购买的代币数量除以用户贡献的价值，得出每个用户应得的代币数量。</w:t>
      </w:r>
    </w:p>
    <w:p w14:paraId="4724301C">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4. 独立挖矿限制： 如果用户的贡献不足以达到一枚代币的价值</w:t>
      </w:r>
      <w:r>
        <w:rPr>
          <w:rFonts w:hint="eastAsia" w:ascii="宋体" w:hAnsi="宋体" w:eastAsia="宋体" w:cs="宋体"/>
          <w:color w:val="auto"/>
          <w:spacing w:val="0"/>
          <w:position w:val="0"/>
          <w:sz w:val="21"/>
          <w:shd w:val="clear" w:color="auto" w:fill="auto"/>
        </w:rPr>
        <w:t>增加10%的容差</w:t>
      </w:r>
      <w:r>
        <w:rPr>
          <w:rFonts w:hint="eastAsia" w:cs="Calibri"/>
          <w:color w:val="auto"/>
          <w:spacing w:val="0"/>
          <w:position w:val="0"/>
          <w:sz w:val="21"/>
          <w:shd w:val="clear" w:color="auto" w:fill="auto"/>
          <w:lang w:val="en-US" w:eastAsia="zh-CN"/>
        </w:rPr>
        <w:t>，他们将无法独立获得代币奖励。</w:t>
      </w:r>
    </w:p>
    <w:p w14:paraId="66AD09D7">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5. 奖励发放： 只有当矿池累计的金额足够购买代币时，才会进行奖励的分配。</w:t>
      </w:r>
    </w:p>
    <w:p w14:paraId="7DF6B5A0">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6. 优化等待： 用户可以通过提高自己的挖矿贡献来增加获得奖励的可能性，或者等待矿池累积更多的金额。</w:t>
      </w:r>
    </w:p>
    <w:p w14:paraId="2954A26E">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6CB4C6A7">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独立用户PCDN价值产出奖励</w:t>
      </w:r>
    </w:p>
    <w:p w14:paraId="4525CDA0">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运行原理：</w:t>
      </w:r>
    </w:p>
    <w:p w14:paraId="6442F508">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1. 价值计算： 用户PCDN产出的价值必须达到至少一枚代币的金额。</w:t>
      </w:r>
    </w:p>
    <w:p w14:paraId="20218847">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2. 容差升值： 系统为用户产出的价值增加10%的容差，用于升值，即允许价值在一定范围内波动而不影响奖励发放。</w:t>
      </w:r>
    </w:p>
    <w:p w14:paraId="261C7557">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3. 手续费与返还： 类似于手续费，但这部分额外的价值最终会以某种形式返还给用户。</w:t>
      </w:r>
    </w:p>
    <w:p w14:paraId="297341BB">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4. 奖励发放条件： 如果用户PCDN产出的价值未达到最低标准，系统不会立即发放奖励。</w:t>
      </w:r>
    </w:p>
    <w:p w14:paraId="6B47EF04">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5. 等待与优化： 用户需要等待其PCDN产出的价值累积到满足条件，或者通过系统优化来提高产出价值。</w:t>
      </w:r>
    </w:p>
    <w:p w14:paraId="345FABA9">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分成条目：</w:t>
      </w:r>
    </w:p>
    <w:p w14:paraId="4170BAC7">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产出价值标准： 用户PCDN产出的价值至少需达到一枚代币的金额。</w:t>
      </w:r>
    </w:p>
    <w:p w14:paraId="5E0391FE">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容差升值： 系统自动为用户产出的价值增加10%的容差，用于升值。</w:t>
      </w:r>
    </w:p>
    <w:p w14:paraId="5EB0F25F">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手续费与奖励： 系统收取的类似手续费的价值最终会以某种形式返还给用户，增加用户的总收益。</w:t>
      </w:r>
    </w:p>
    <w:p w14:paraId="66CE62C2">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奖励发放条件： 只有当用户PCDN产出的价值满足最低标准时，系统才会发放奖励。</w:t>
      </w:r>
    </w:p>
    <w:p w14:paraId="6CBEE57F">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等待机制： 如果产出价值未达标，用户需要等待价值累积或通过系统优化来提高产出。</w:t>
      </w:r>
    </w:p>
    <w:p w14:paraId="4D0DF0B3">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优化建议： 用户可以通过优化PCDN配置或提高网络质量来增加产出价值，以满足奖励发放条件。</w:t>
      </w:r>
    </w:p>
    <w:p w14:paraId="6EDA8F15">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1384B5BD">
      <w:pPr>
        <w:spacing w:before="0" w:after="0" w:line="240" w:lineRule="auto"/>
        <w:ind w:left="0" w:right="0" w:firstLine="0"/>
        <w:jc w:val="both"/>
        <w:rPr>
          <w:rFonts w:hint="eastAsia" w:ascii="Calibri" w:hAnsi="Calibri" w:eastAsia="Calibri" w:cs="Calibri"/>
          <w:color w:val="auto"/>
          <w:spacing w:val="0"/>
          <w:position w:val="0"/>
          <w:sz w:val="21"/>
          <w:shd w:val="clear" w:color="auto" w:fill="auto"/>
          <w:lang w:val="en-US" w:eastAsia="zh-CN"/>
        </w:rPr>
      </w:pPr>
      <w:r>
        <w:rPr>
          <w:rFonts w:hint="eastAsia" w:ascii="Calibri" w:hAnsi="Calibri" w:eastAsia="Calibri" w:cs="Calibri"/>
          <w:color w:val="auto"/>
          <w:spacing w:val="0"/>
          <w:position w:val="0"/>
          <w:sz w:val="21"/>
          <w:shd w:val="clear" w:color="auto" w:fill="auto"/>
          <w:lang w:val="en-US" w:eastAsia="zh-CN"/>
        </w:rPr>
        <w:t>1. 初始条件：</w:t>
      </w:r>
    </w:p>
    <w:p w14:paraId="32CF20DE">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总供应量：1亿枚</w:t>
      </w:r>
    </w:p>
    <w:p w14:paraId="2642C5E3">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兑付储备金：1.01U</w:t>
      </w:r>
    </w:p>
    <w:p w14:paraId="24CCA65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起始价格：1.01U</w:t>
      </w:r>
    </w:p>
    <w:p w14:paraId="18B1F34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容差：1%</w:t>
      </w:r>
    </w:p>
    <w:p w14:paraId="0376436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第1枚Uto代币购买：</w:t>
      </w:r>
    </w:p>
    <w:p w14:paraId="71D26AC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任务池或矿池转入兑付储备金：1.01U + 0.01U（容差）= 1.02U</w:t>
      </w:r>
    </w:p>
    <w:p w14:paraId="09C0458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用户获得：1枚Uto</w:t>
      </w:r>
    </w:p>
    <w:p w14:paraId="6DF135C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兑付储备金价值：1.01U + 1.02U = 2.03U</w:t>
      </w:r>
    </w:p>
    <w:p w14:paraId="62FAC3C2">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市场流通量：1枚Uto + 1枚Uto = 2枚Uto</w:t>
      </w:r>
    </w:p>
    <w:p w14:paraId="46EA612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计算当前价值 = 兑付储备金价值 / 市场流通量 = 2.03U / 2 = 1.015U</w:t>
      </w:r>
    </w:p>
    <w:p w14:paraId="3903575E">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计算当前实际容差 = (1.02U - 1.015U) / 1.01U * 100 = 0.495%</w:t>
      </w:r>
    </w:p>
    <w:p w14:paraId="6C3D32C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计算总共实际容差 = (1.02U - 1.015U) / 1.01U * 100 = 0.495%</w:t>
      </w:r>
    </w:p>
    <w:p w14:paraId="2EF0F4D3">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计算当前上涨率 = (1.015U - 1.01U) / 1.01U * 100 = 0.495%</w:t>
      </w:r>
    </w:p>
    <w:p w14:paraId="1F9309B2">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 总共上涨率 = (1.015U - 1.01U) / 1.01U * 100 = 0.495%</w:t>
      </w:r>
    </w:p>
    <w:p w14:paraId="51666C7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计算当前购买成本 = 1.01U</w:t>
      </w:r>
    </w:p>
    <w:p w14:paraId="0B32845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计算累计购买总金额 = 1.02U</w:t>
      </w:r>
    </w:p>
    <w:p w14:paraId="7EE158C7">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计算累计购买总数量 = 1</w:t>
      </w:r>
    </w:p>
    <w:p w14:paraId="6AA65FCC">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计算累计Uto总价值 = 1 * 1.015U = 1.015U</w:t>
      </w:r>
    </w:p>
    <w:p w14:paraId="50C2801C">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计算立刻兑现亏损： 立刻兑现亏损 = (1.02U - 1.015U) / 1.01U * 100 = 0.495%</w:t>
      </w:r>
    </w:p>
    <w:p w14:paraId="581E7D06">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2263A13B">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第2枚Uto代币</w:t>
      </w:r>
    </w:p>
    <w:p w14:paraId="780548A7">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初始条件更新：</w:t>
      </w:r>
    </w:p>
    <w:p w14:paraId="7B0A029E">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总供应量：1亿枚</w:t>
      </w:r>
    </w:p>
    <w:p w14:paraId="2AF8BF5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兑付储备金：2.03U（初始1.01U + 第一次购买的1.02U）</w:t>
      </w:r>
    </w:p>
    <w:p w14:paraId="5E1292E2">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起始价格：1.01U</w:t>
      </w:r>
    </w:p>
    <w:p w14:paraId="040FCA07">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容差：1%</w:t>
      </w:r>
    </w:p>
    <w:p w14:paraId="262E22B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第2枚Uto代币购买：</w:t>
      </w:r>
    </w:p>
    <w:p w14:paraId="4109460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任务池或矿池</w:t>
      </w:r>
      <w:r>
        <w:rPr>
          <w:rFonts w:hint="eastAsia" w:ascii="Calibri" w:hAnsi="Calibri" w:cs="Calibri"/>
          <w:color w:val="auto"/>
          <w:spacing w:val="0"/>
          <w:position w:val="0"/>
          <w:sz w:val="21"/>
          <w:shd w:val="clear" w:color="auto" w:fill="auto"/>
          <w:lang w:val="en-US" w:eastAsia="zh-CN"/>
        </w:rPr>
        <w:t>转入兑付储备金：1.015U + 0.01015U（容差）= 1.02515U</w:t>
      </w:r>
    </w:p>
    <w:p w14:paraId="6734DB1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用户获得：1枚Uto</w:t>
      </w:r>
    </w:p>
    <w:p w14:paraId="40F439D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兑付储备金价值：2.03U + 1.02515U = 3.05515U</w:t>
      </w:r>
    </w:p>
    <w:p w14:paraId="42BB607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市场流通量：2枚Uto + 1枚Uto = 3枚Uto</w:t>
      </w:r>
    </w:p>
    <w:p w14:paraId="36D3D96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计算当前价值 = 兑付储备金价值 / 市场流通量 = 3.05515U / 3 = 1.01838333U</w:t>
      </w:r>
    </w:p>
    <w:p w14:paraId="1FF6B7E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计算当前实际容差 (1.02515 - 1.01838333) / 1.02515 \times 100= 0.66％</w:t>
      </w:r>
    </w:p>
    <w:p w14:paraId="76FE6AB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计算总共实际容差 =((2.04515 - 2.03676666) / 2.04515) * 100 = 0.409913209％</w:t>
      </w:r>
    </w:p>
    <w:p w14:paraId="781BD59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计算当前上涨率 = (1.01838333U - 1.015U) / 1.015U * 100 = 0.33%</w:t>
      </w:r>
    </w:p>
    <w:p w14:paraId="50DE83E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计算总共上涨率 = (1.01838333U - 1.015U + 0.00495U) / 1.01U * 100 = 0.83%</w:t>
      </w:r>
    </w:p>
    <w:p w14:paraId="26D91E42">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计算当前购买成本 = 1.015U</w:t>
      </w:r>
    </w:p>
    <w:p w14:paraId="42E3A09C">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计算累计购买总金额 =1.02+1.02515=2.04515U</w:t>
      </w:r>
    </w:p>
    <w:p w14:paraId="7EDB2AB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计算累计购买总数量 = 2</w:t>
      </w:r>
    </w:p>
    <w:p w14:paraId="2DDD32E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计算累计Uto总价值 = 2 * 1.01838333U = 2.03676666U</w:t>
      </w:r>
    </w:p>
    <w:p w14:paraId="73DC504D">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计算立刻兑现亏损：立刻兑现亏损 = (1.02515U - 1.01838333U) / 1.015U * 100 = 0.67%</w:t>
      </w:r>
    </w:p>
    <w:p w14:paraId="5E92A7E8">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1EC44BA2">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第3枚Uto代币购买：</w:t>
      </w:r>
    </w:p>
    <w:p w14:paraId="15035F2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初始条件更新：</w:t>
      </w:r>
    </w:p>
    <w:p w14:paraId="773CCA8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总供应量：1亿枚</w:t>
      </w:r>
    </w:p>
    <w:p w14:paraId="3C40FA2C">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兑付储备金：3.05515U（初始1.01U + 第一次购买的1.02U + 第二次购买的1.02515U）</w:t>
      </w:r>
    </w:p>
    <w:p w14:paraId="5AEED91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起始价格：1.01U</w:t>
      </w:r>
    </w:p>
    <w:p w14:paraId="61475A0C">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容差：1%</w:t>
      </w:r>
    </w:p>
    <w:p w14:paraId="3A70E27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2. 第3枚Uto代币购买：</w:t>
      </w:r>
    </w:p>
    <w:p w14:paraId="089313B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任务池或矿池转入兑付储备金：1.01838333U + 0.0101838333U（容差）= 1.0285671666U</w:t>
      </w:r>
    </w:p>
    <w:p w14:paraId="614E3337">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用户获得：1枚Uto</w:t>
      </w:r>
    </w:p>
    <w:p w14:paraId="1266721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兑付储备金价值：3.05515U + 1.0285671666U = 4.0837171666U</w:t>
      </w:r>
    </w:p>
    <w:p w14:paraId="250E6453">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市场流通量：3枚Uto + 1枚Uto = 4枚Uto</w:t>
      </w:r>
    </w:p>
    <w:p w14:paraId="48654F7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3. 计算：</w:t>
      </w:r>
    </w:p>
    <w:p w14:paraId="37B82A9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计算当前价值 = 兑付储备金价值 / 市场流通量 = 4.0837171666U / 4 = 1.0209292917U</w:t>
      </w:r>
    </w:p>
    <w:p w14:paraId="419CFE6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计算当前实际容差 = (1.0285671666U - 1.0209292917U) / 1.0285671666U * 100 = 0.67%</w:t>
      </w:r>
    </w:p>
    <w:p w14:paraId="53F909B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计算总共实际容差 = (4.0837171666U - 4.0695695833U) / 3.05515U * 100 = 0.54%</w:t>
      </w:r>
    </w:p>
    <w:p w14:paraId="6EC3956D">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计算当前上涨率 = (1.0209292917U - 1.01838333U) / 1.01838333U * 100 = 0.63%</w:t>
      </w:r>
    </w:p>
    <w:p w14:paraId="664EED53">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计算总共上涨率 = (1.0209292917U - 1.01U) / 1.01U * 100 = 0.99%</w:t>
      </w:r>
    </w:p>
    <w:p w14:paraId="5F3F65E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计算当前购买成本 = 1.01838333U</w:t>
      </w:r>
    </w:p>
    <w:p w14:paraId="1014B87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计算累计购买总金额 = 2.04515U + 1.0285671666U = 3.0737171666U</w:t>
      </w:r>
    </w:p>
    <w:p w14:paraId="6CC6995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计算累计购买总数量 = 3</w:t>
      </w:r>
    </w:p>
    <w:p w14:paraId="52B04419">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计算累计Uto总价值 = 3 * 1.0209292917U = 3.0627878750U</w:t>
      </w:r>
    </w:p>
    <w:p w14:paraId="6FEAAF28">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计算立刻兑现亏损：立刻兑现亏损 = (1.0285671666U - 1.0209292917U) / 1.01838333U * 100 = 0.67%</w:t>
      </w:r>
    </w:p>
    <w:p w14:paraId="07C18763">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362B89D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去中心化交易所开发文档</w:t>
      </w:r>
    </w:p>
    <w:p w14:paraId="67C6772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77E9F7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引言</w:t>
      </w:r>
    </w:p>
    <w:p w14:paraId="6DA4B13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C59A22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1.1</w:t>
      </w:r>
      <w:r>
        <w:rPr>
          <w:rFonts w:ascii="宋体" w:hAnsi="宋体" w:eastAsia="宋体" w:cs="宋体"/>
          <w:color w:val="auto"/>
          <w:spacing w:val="0"/>
          <w:position w:val="0"/>
          <w:sz w:val="21"/>
          <w:shd w:val="clear" w:color="auto" w:fill="auto"/>
        </w:rPr>
        <w:t>目的</w:t>
      </w:r>
    </w:p>
    <w:p w14:paraId="5C2BBB1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本文档提供了去中心化交易所</w:t>
      </w:r>
      <w:r>
        <w:rPr>
          <w:rFonts w:ascii="Calibri" w:hAnsi="Calibri" w:eastAsia="Calibri" w:cs="Calibri"/>
          <w:color w:val="auto"/>
          <w:spacing w:val="0"/>
          <w:position w:val="0"/>
          <w:sz w:val="21"/>
          <w:shd w:val="clear" w:color="auto" w:fill="auto"/>
        </w:rPr>
        <w:t>(DEX)</w:t>
      </w:r>
      <w:r>
        <w:rPr>
          <w:rFonts w:ascii="宋体" w:hAnsi="宋体" w:eastAsia="宋体" w:cs="宋体"/>
          <w:color w:val="auto"/>
          <w:spacing w:val="0"/>
          <w:position w:val="0"/>
          <w:sz w:val="21"/>
          <w:shd w:val="clear" w:color="auto" w:fill="auto"/>
        </w:rPr>
        <w:t>开发所需的详细信息，包括功能模块、用户界面设计、后端服务架构以及安全性设计。</w:t>
      </w:r>
    </w:p>
    <w:p w14:paraId="297C2E3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C4BA57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1.2</w:t>
      </w:r>
      <w:r>
        <w:rPr>
          <w:rFonts w:ascii="宋体" w:hAnsi="宋体" w:eastAsia="宋体" w:cs="宋体"/>
          <w:color w:val="auto"/>
          <w:spacing w:val="0"/>
          <w:position w:val="0"/>
          <w:sz w:val="21"/>
          <w:shd w:val="clear" w:color="auto" w:fill="auto"/>
        </w:rPr>
        <w:t>范围</w:t>
      </w:r>
    </w:p>
    <w:p w14:paraId="00307BE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本文档涵盖以下主要部分:</w:t>
      </w:r>
    </w:p>
    <w:p w14:paraId="2E2C745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功能模块描述</w:t>
      </w:r>
    </w:p>
    <w:p w14:paraId="756B388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(UI)</w:t>
      </w:r>
      <w:r>
        <w:rPr>
          <w:rFonts w:ascii="宋体" w:hAnsi="宋体" w:eastAsia="宋体" w:cs="宋体"/>
          <w:color w:val="auto"/>
          <w:spacing w:val="0"/>
          <w:position w:val="0"/>
          <w:sz w:val="21"/>
          <w:shd w:val="clear" w:color="auto" w:fill="auto"/>
        </w:rPr>
        <w:t>设计</w:t>
      </w:r>
    </w:p>
    <w:p w14:paraId="3BC9851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后端服务架构</w:t>
      </w:r>
    </w:p>
    <w:p w14:paraId="75466AE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安全性设计</w:t>
      </w:r>
    </w:p>
    <w:p w14:paraId="63C0B8A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4FF1B6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功能模块</w:t>
      </w:r>
    </w:p>
    <w:p w14:paraId="5CAE4DE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47BBF2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2.1</w:t>
      </w:r>
      <w:r>
        <w:rPr>
          <w:rFonts w:ascii="宋体" w:hAnsi="宋体" w:eastAsia="宋体" w:cs="宋体"/>
          <w:color w:val="auto"/>
          <w:spacing w:val="0"/>
          <w:position w:val="0"/>
          <w:sz w:val="21"/>
          <w:shd w:val="clear" w:color="auto" w:fill="auto"/>
        </w:rPr>
        <w:t>首页</w:t>
      </w:r>
    </w:p>
    <w:p w14:paraId="172BB67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轮播图</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用于广告宣传。</w:t>
      </w:r>
    </w:p>
    <w:p w14:paraId="5C9B03E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币种涨幅榜</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展示币种波动情况，如</w:t>
      </w:r>
      <w:r>
        <w:rPr>
          <w:rFonts w:ascii="Calibri" w:hAnsi="Calibri" w:eastAsia="Calibri" w:cs="Calibri"/>
          <w:color w:val="auto"/>
          <w:spacing w:val="0"/>
          <w:position w:val="0"/>
          <w:sz w:val="21"/>
          <w:shd w:val="clear" w:color="auto" w:fill="auto"/>
        </w:rPr>
        <w:t>AU</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BTC</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USDT</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ETH</w:t>
      </w:r>
      <w:r>
        <w:rPr>
          <w:rFonts w:ascii="宋体" w:hAnsi="宋体" w:eastAsia="宋体" w:cs="宋体"/>
          <w:color w:val="auto"/>
          <w:spacing w:val="0"/>
          <w:position w:val="0"/>
          <w:sz w:val="21"/>
          <w:shd w:val="clear" w:color="auto" w:fill="auto"/>
        </w:rPr>
        <w:t>。</w:t>
      </w:r>
    </w:p>
    <w:p w14:paraId="5B4F504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快捷按钮</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提供帮助中心、自选、充值、提现等快速入口。</w:t>
      </w:r>
    </w:p>
    <w:p w14:paraId="68CC313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公告栏</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展示最新公告。</w:t>
      </w:r>
    </w:p>
    <w:p w14:paraId="0B282F2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E2BCE5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2.2</w:t>
      </w:r>
      <w:r>
        <w:rPr>
          <w:rFonts w:ascii="宋体" w:hAnsi="宋体" w:eastAsia="宋体" w:cs="宋体"/>
          <w:color w:val="auto"/>
          <w:spacing w:val="0"/>
          <w:position w:val="0"/>
          <w:sz w:val="21"/>
          <w:shd w:val="clear" w:color="auto" w:fill="auto"/>
        </w:rPr>
        <w:t>领空投</w:t>
      </w:r>
    </w:p>
    <w:p w14:paraId="508B8FD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项目方发布空投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项目方可以发布空投活动，并填写合约地址。</w:t>
      </w:r>
    </w:p>
    <w:p w14:paraId="0A4A32B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用户领取空投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用户可以领取空投，需要填写钱包地址并通过去中心化身份验证。</w:t>
      </w:r>
    </w:p>
    <w:p w14:paraId="3D0BDC2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FA79D6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2.3</w:t>
      </w:r>
      <w:r>
        <w:rPr>
          <w:rFonts w:ascii="宋体" w:hAnsi="宋体" w:eastAsia="宋体" w:cs="宋体"/>
          <w:color w:val="auto"/>
          <w:spacing w:val="0"/>
          <w:position w:val="0"/>
          <w:sz w:val="21"/>
          <w:shd w:val="clear" w:color="auto" w:fill="auto"/>
        </w:rPr>
        <w:t>行情</w:t>
      </w:r>
    </w:p>
    <w:p w14:paraId="3F27BE4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币种涨跌幅</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实时获取币种价格和涨跌幅。</w:t>
      </w:r>
    </w:p>
    <w:p w14:paraId="633BCAD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热门榜</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向对付储备金转入一定金额可以上热门，金额越多排行越高。</w:t>
      </w:r>
    </w:p>
    <w:p w14:paraId="6C64CCE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审查榜</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需要支付审查费用，通过</w:t>
      </w:r>
      <w:r>
        <w:rPr>
          <w:rFonts w:ascii="Calibri" w:hAnsi="Calibri" w:eastAsia="Calibri" w:cs="Calibri"/>
          <w:color w:val="auto"/>
          <w:spacing w:val="0"/>
          <w:position w:val="0"/>
          <w:sz w:val="21"/>
          <w:shd w:val="clear" w:color="auto" w:fill="auto"/>
        </w:rPr>
        <w:t>DAO</w:t>
      </w:r>
      <w:r>
        <w:rPr>
          <w:rFonts w:ascii="宋体" w:hAnsi="宋体" w:eastAsia="宋体" w:cs="宋体"/>
          <w:color w:val="auto"/>
          <w:spacing w:val="0"/>
          <w:position w:val="0"/>
          <w:sz w:val="21"/>
          <w:shd w:val="clear" w:color="auto" w:fill="auto"/>
        </w:rPr>
        <w:t>组织委员会审查是否是割韭菜体系。</w:t>
      </w:r>
    </w:p>
    <w:p w14:paraId="178772F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E1ECCE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2.4</w:t>
      </w:r>
      <w:r>
        <w:rPr>
          <w:rFonts w:ascii="宋体" w:hAnsi="宋体" w:eastAsia="宋体" w:cs="宋体"/>
          <w:color w:val="auto"/>
          <w:spacing w:val="0"/>
          <w:position w:val="0"/>
          <w:sz w:val="21"/>
          <w:shd w:val="clear" w:color="auto" w:fill="auto"/>
        </w:rPr>
        <w:t>行情走势</w:t>
      </w:r>
    </w:p>
    <w:p w14:paraId="5ED5A11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曲线图（分时）</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展示市场深度和实时成交情况。</w:t>
      </w:r>
    </w:p>
    <w:p w14:paraId="56A2E51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K</w:t>
      </w:r>
      <w:r>
        <w:rPr>
          <w:rFonts w:ascii="宋体" w:hAnsi="宋体" w:eastAsia="宋体" w:cs="宋体"/>
          <w:color w:val="auto"/>
          <w:spacing w:val="0"/>
          <w:position w:val="0"/>
          <w:sz w:val="21"/>
          <w:shd w:val="clear" w:color="auto" w:fill="auto"/>
        </w:rPr>
        <w:t>线图</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提供市场深度和成交信息，以及币种的发行时间、发行总量、流通总量等简介。</w:t>
      </w:r>
    </w:p>
    <w:p w14:paraId="2CF4806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E74ED5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2.5</w:t>
      </w:r>
      <w:r>
        <w:rPr>
          <w:rFonts w:ascii="宋体" w:hAnsi="宋体" w:eastAsia="宋体" w:cs="宋体"/>
          <w:color w:val="auto"/>
          <w:spacing w:val="0"/>
          <w:position w:val="0"/>
          <w:sz w:val="21"/>
          <w:shd w:val="clear" w:color="auto" w:fill="auto"/>
        </w:rPr>
        <w:t>买入卖出</w:t>
      </w:r>
    </w:p>
    <w:p w14:paraId="2BD0148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限时买入</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卖出</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用户可以设置期望的交易价格和数量，以及支付方式。</w:t>
      </w:r>
    </w:p>
    <w:p w14:paraId="6136396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交易对</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展示可交易的币种对。</w:t>
      </w:r>
    </w:p>
    <w:p w14:paraId="09F8A61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挂单交易</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用户可以查看已提交的买单或卖单列表。</w:t>
      </w:r>
    </w:p>
    <w:p w14:paraId="77C1A1B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86729B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用户界面设计</w:t>
      </w:r>
    </w:p>
    <w:p w14:paraId="60EB37A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E19D48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3.1</w:t>
      </w:r>
      <w:r>
        <w:rPr>
          <w:rFonts w:ascii="宋体" w:hAnsi="宋体" w:eastAsia="宋体" w:cs="宋体"/>
          <w:color w:val="auto"/>
          <w:spacing w:val="0"/>
          <w:position w:val="0"/>
          <w:sz w:val="21"/>
          <w:shd w:val="clear" w:color="auto" w:fill="auto"/>
        </w:rPr>
        <w:t>首页设计</w:t>
      </w:r>
    </w:p>
    <w:p w14:paraId="2B4B6F1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首页应包含所有快捷操作入口，以及实时更新的市场信息。</w:t>
      </w:r>
    </w:p>
    <w:p w14:paraId="51F6E89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应有清晰的导航栏，方便用户快速找到所需功能。</w:t>
      </w:r>
    </w:p>
    <w:p w14:paraId="4526F83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DF8599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3.2</w:t>
      </w:r>
      <w:r>
        <w:rPr>
          <w:rFonts w:ascii="宋体" w:hAnsi="宋体" w:eastAsia="宋体" w:cs="宋体"/>
          <w:color w:val="auto"/>
          <w:spacing w:val="0"/>
          <w:position w:val="0"/>
          <w:sz w:val="21"/>
          <w:shd w:val="clear" w:color="auto" w:fill="auto"/>
        </w:rPr>
        <w:t>领空投界面</w:t>
      </w:r>
    </w:p>
    <w:p w14:paraId="4D73BEE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界面应提供简单的表单填写，以便用户领取空投。</w:t>
      </w:r>
    </w:p>
    <w:p w14:paraId="2E11076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需要有明确的提示信息，指导用户完成领取流程。</w:t>
      </w:r>
    </w:p>
    <w:p w14:paraId="503C97E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80465B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3.3</w:t>
      </w:r>
      <w:r>
        <w:rPr>
          <w:rFonts w:ascii="宋体" w:hAnsi="宋体" w:eastAsia="宋体" w:cs="宋体"/>
          <w:color w:val="auto"/>
          <w:spacing w:val="0"/>
          <w:position w:val="0"/>
          <w:sz w:val="21"/>
          <w:shd w:val="clear" w:color="auto" w:fill="auto"/>
        </w:rPr>
        <w:t>行情界面</w:t>
      </w:r>
    </w:p>
    <w:p w14:paraId="14BF95F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行情界面应提供实时的数据更新和图表展示。</w:t>
      </w:r>
    </w:p>
    <w:p w14:paraId="2C34D1F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应有筛选和排序功能，使用户能够根据需要查看不同币种的信息。</w:t>
      </w:r>
    </w:p>
    <w:p w14:paraId="134D0A2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C887BD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3.4</w:t>
      </w:r>
      <w:r>
        <w:rPr>
          <w:rFonts w:ascii="宋体" w:hAnsi="宋体" w:eastAsia="宋体" w:cs="宋体"/>
          <w:color w:val="auto"/>
          <w:spacing w:val="0"/>
          <w:position w:val="0"/>
          <w:sz w:val="21"/>
          <w:shd w:val="clear" w:color="auto" w:fill="auto"/>
        </w:rPr>
        <w:t>交易界面</w:t>
      </w:r>
    </w:p>
    <w:p w14:paraId="4805BFF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交易界面应简洁明了，方便用户快速下单。</w:t>
      </w:r>
    </w:p>
    <w:p w14:paraId="1031F6F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应提供详细的交易对信息和交易历史记录。</w:t>
      </w:r>
    </w:p>
    <w:p w14:paraId="1CF0944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1D6945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3.5Swap</w:t>
      </w:r>
      <w:r>
        <w:rPr>
          <w:rFonts w:ascii="宋体" w:hAnsi="宋体" w:eastAsia="宋体" w:cs="宋体"/>
          <w:color w:val="auto"/>
          <w:spacing w:val="0"/>
          <w:position w:val="0"/>
          <w:sz w:val="21"/>
          <w:shd w:val="clear" w:color="auto" w:fill="auto"/>
        </w:rPr>
        <w:t>去中心化代币价值交换系统</w:t>
      </w:r>
    </w:p>
    <w:p w14:paraId="3CD7D73D">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77258D90">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宋体" w:hAnsi="宋体" w:cs="宋体"/>
          <w:color w:val="auto"/>
          <w:spacing w:val="0"/>
          <w:position w:val="0"/>
          <w:sz w:val="21"/>
          <w:shd w:val="clear" w:color="auto" w:fill="auto"/>
          <w:lang w:val="en-US" w:eastAsia="zh-CN"/>
        </w:rPr>
        <w:t>模式一.</w:t>
      </w:r>
      <w:bookmarkStart w:id="0" w:name="OLE_LINK1"/>
      <w:r>
        <w:rPr>
          <w:rFonts w:hint="eastAsia" w:ascii="Calibri" w:hAnsi="Calibri" w:eastAsia="Calibri" w:cs="Calibri"/>
          <w:color w:val="auto"/>
          <w:spacing w:val="0"/>
          <w:position w:val="0"/>
          <w:sz w:val="21"/>
          <w:shd w:val="clear" w:color="auto" w:fill="auto"/>
        </w:rPr>
        <w:t>灵活流动性交易系统 (Flexible Liquidity Trading System, FLTS)</w:t>
      </w:r>
      <w:r>
        <w:rPr>
          <w:rFonts w:hint="eastAsia" w:ascii="宋体" w:hAnsi="宋体" w:eastAsia="宋体" w:cs="宋体"/>
          <w:color w:val="auto"/>
          <w:spacing w:val="0"/>
          <w:position w:val="0"/>
          <w:sz w:val="21"/>
          <w:shd w:val="clear" w:color="auto" w:fill="auto"/>
        </w:rPr>
        <w:t>(风险</w:t>
      </w:r>
      <w:r>
        <w:rPr>
          <w:rFonts w:hint="eastAsia" w:ascii="宋体" w:hAnsi="宋体" w:eastAsia="宋体" w:cs="宋体"/>
          <w:color w:val="auto"/>
          <w:spacing w:val="0"/>
          <w:position w:val="0"/>
          <w:sz w:val="21"/>
          <w:shd w:val="clear" w:color="auto" w:fill="auto"/>
          <w:lang w:eastAsia="zh-CN"/>
        </w:rPr>
        <w:t>中低</w:t>
      </w:r>
      <w:r>
        <w:rPr>
          <w:rFonts w:hint="eastAsia" w:ascii="宋体" w:hAnsi="宋体" w:eastAsia="宋体" w:cs="宋体"/>
          <w:color w:val="auto"/>
          <w:spacing w:val="0"/>
          <w:position w:val="0"/>
          <w:sz w:val="21"/>
          <w:shd w:val="clear" w:color="auto" w:fill="auto"/>
        </w:rPr>
        <w:t>)</w:t>
      </w:r>
    </w:p>
    <w:p w14:paraId="20CC3DF1">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运行原理：</w:t>
      </w:r>
    </w:p>
    <w:p w14:paraId="70A46A94">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灵活流动性交易系统（FLTS）是一个创新的去中心化交易平台，支持用户根据个人偏好选择是否通过流动性池进行代币交易。以下是系统的主要运行原理：</w:t>
      </w:r>
    </w:p>
    <w:p w14:paraId="779B1F8E">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0FA5DF2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5A0C06B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对付储备金与流通量:</w:t>
      </w:r>
    </w:p>
    <w:p w14:paraId="2152636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系统维护一个对付储备金池和一个代币流通量。</w:t>
      </w:r>
    </w:p>
    <w:p w14:paraId="4719991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代币的最低价值由对付储备金除以流通数量决定。</w:t>
      </w:r>
    </w:p>
    <w:p w14:paraId="1C52219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8075D3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代币池子输入:</w:t>
      </w:r>
    </w:p>
    <w:p w14:paraId="78DCE16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用户可以向代币池子输入代币数量，同时添加新发行的代币。</w:t>
      </w:r>
    </w:p>
    <w:p w14:paraId="6C720AA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8686030">
      <w:pPr>
        <w:numPr>
          <w:ilvl w:val="0"/>
          <w:numId w:val="1"/>
        </w:num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ascii="宋体" w:hAnsi="宋体" w:eastAsia="宋体" w:cs="宋体"/>
          <w:color w:val="auto"/>
          <w:spacing w:val="0"/>
          <w:position w:val="0"/>
          <w:sz w:val="21"/>
          <w:shd w:val="clear" w:color="auto" w:fill="auto"/>
        </w:rPr>
        <w:t>对付储备金池子输入:</w:t>
      </w:r>
    </w:p>
    <w:p w14:paraId="45B19F2F">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多币储备金池(可以添加多个币或者单个币作为对付储备金池)</w:t>
      </w:r>
    </w:p>
    <w:p w14:paraId="2720F041">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p>
    <w:p w14:paraId="3EA0FF6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用户可以向对付储备金池子输入代币数量，</w:t>
      </w:r>
      <w:r>
        <w:rPr>
          <w:rFonts w:hint="eastAsia" w:ascii="宋体" w:hAnsi="宋体" w:eastAsia="宋体" w:cs="宋体"/>
          <w:color w:val="auto"/>
          <w:spacing w:val="0"/>
          <w:position w:val="0"/>
          <w:sz w:val="21"/>
          <w:shd w:val="clear" w:color="auto" w:fill="auto"/>
        </w:rPr>
        <w:t>全网用户持有流通(建议项目方手上保留一枚) ，决定初始价值</w:t>
      </w:r>
      <w:r>
        <w:rPr>
          <w:rFonts w:ascii="宋体" w:hAnsi="宋体" w:eastAsia="宋体" w:cs="宋体"/>
          <w:color w:val="auto"/>
          <w:spacing w:val="0"/>
          <w:position w:val="0"/>
          <w:sz w:val="21"/>
          <w:shd w:val="clear" w:color="auto" w:fill="auto"/>
        </w:rPr>
        <w:t>。</w:t>
      </w:r>
      <w:r>
        <w:rPr>
          <w:rFonts w:hint="eastAsia" w:ascii="宋体" w:hAnsi="宋体" w:eastAsia="宋体" w:cs="宋体"/>
          <w:color w:val="auto"/>
          <w:spacing w:val="0"/>
          <w:position w:val="0"/>
          <w:sz w:val="21"/>
          <w:shd w:val="clear" w:color="auto" w:fill="auto"/>
        </w:rPr>
        <w:t>(默认直接锁黑洞)</w:t>
      </w:r>
    </w:p>
    <w:p w14:paraId="389B9BCC">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44E27B4D">
      <w:pPr>
        <w:spacing w:before="0" w:after="0" w:line="240" w:lineRule="auto"/>
        <w:ind w:right="0"/>
        <w:jc w:val="both"/>
        <w:rPr>
          <w:rFonts w:hint="eastAsia" w:ascii="Calibri" w:hAnsi="Calibri" w:cs="Calibri"/>
          <w:color w:val="auto"/>
          <w:spacing w:val="0"/>
          <w:position w:val="0"/>
          <w:sz w:val="21"/>
          <w:shd w:val="clear" w:color="auto" w:fill="auto"/>
          <w:lang w:eastAsia="zh-CN"/>
        </w:rPr>
      </w:pPr>
      <w:r>
        <w:rPr>
          <w:rFonts w:hint="eastAsia" w:ascii="Calibri" w:hAnsi="Calibri" w:cs="Calibri"/>
          <w:color w:val="auto"/>
          <w:spacing w:val="0"/>
          <w:position w:val="0"/>
          <w:sz w:val="21"/>
          <w:shd w:val="clear" w:color="auto" w:fill="auto"/>
          <w:lang w:eastAsia="zh-CN"/>
        </w:rPr>
        <w:t>最大卖出限制</w:t>
      </w:r>
      <w:r>
        <w:rPr>
          <w:rFonts w:hint="default" w:ascii="Calibri" w:hAnsi="Calibri" w:cs="Calibri"/>
          <w:color w:val="auto"/>
          <w:spacing w:val="0"/>
          <w:position w:val="0"/>
          <w:sz w:val="21"/>
          <w:shd w:val="clear" w:color="auto" w:fill="auto"/>
          <w:lang w:val="en-US" w:eastAsia="zh-CN"/>
        </w:rPr>
        <w:t>:</w:t>
      </w:r>
      <w:r>
        <w:rPr>
          <w:rFonts w:hint="eastAsia" w:ascii="Calibri" w:hAnsi="Calibri" w:cs="Calibri"/>
          <w:color w:val="auto"/>
          <w:spacing w:val="0"/>
          <w:position w:val="0"/>
          <w:sz w:val="21"/>
          <w:shd w:val="clear" w:color="auto" w:fill="auto"/>
          <w:lang w:eastAsia="zh-CN"/>
        </w:rPr>
        <w:t>因为除数和被除数不能为零，用户卖出最大到账99.(18)9%</w:t>
      </w:r>
    </w:p>
    <w:p w14:paraId="056C0843">
      <w:pPr>
        <w:spacing w:before="0" w:after="0" w:line="240" w:lineRule="auto"/>
        <w:ind w:right="0"/>
        <w:jc w:val="both"/>
        <w:rPr>
          <w:rFonts w:hint="eastAsia" w:ascii="Calibri" w:hAnsi="Calibri" w:cs="Calibri"/>
          <w:color w:val="auto"/>
          <w:spacing w:val="0"/>
          <w:position w:val="0"/>
          <w:sz w:val="21"/>
          <w:shd w:val="clear" w:color="auto" w:fill="auto"/>
          <w:lang w:eastAsia="zh-CN"/>
        </w:rPr>
      </w:pPr>
    </w:p>
    <w:p w14:paraId="742C01A9">
      <w:pPr>
        <w:spacing w:line="240" w:lineRule="auto"/>
        <w:jc w:val="both"/>
        <w:rPr>
          <w:rFonts w:hint="eastAsia"/>
          <w:lang w:eastAsia="zh-CN"/>
        </w:rPr>
      </w:pPr>
      <w:r>
        <w:rPr>
          <w:rFonts w:hint="eastAsia"/>
          <w:lang w:eastAsia="zh-CN"/>
        </w:rPr>
        <w:t>买入价格</w:t>
      </w:r>
    </w:p>
    <w:p w14:paraId="24D054F2">
      <w:pPr>
        <w:spacing w:line="240" w:lineRule="auto"/>
        <w:jc w:val="both"/>
        <w:rPr>
          <w:rFonts w:hint="eastAsia"/>
          <w:lang w:val="en-US" w:eastAsia="zh-CN"/>
        </w:rPr>
      </w:pPr>
      <w:r>
        <w:rPr>
          <w:rFonts w:hint="default"/>
          <w:lang w:val="en-US" w:eastAsia="zh-CN"/>
        </w:rPr>
        <w:t>[(</w:t>
      </w:r>
      <w:r>
        <w:rPr>
          <w:rFonts w:hint="eastAsia"/>
          <w:lang w:val="en-US" w:eastAsia="zh-CN"/>
        </w:rPr>
        <w:t>对付</w:t>
      </w:r>
      <w:r>
        <w:rPr>
          <w:rFonts w:hint="eastAsia"/>
          <w:lang w:eastAsia="zh-CN"/>
        </w:rPr>
        <w:t>储备金池÷全网用户持有流通数量包含</w:t>
      </w:r>
      <w:r>
        <w:rPr>
          <w:rFonts w:hint="default"/>
          <w:lang w:val="en-US" w:eastAsia="zh-CN"/>
        </w:rPr>
        <w:t>LP</w:t>
      </w:r>
      <w:r>
        <w:rPr>
          <w:rFonts w:hint="eastAsia"/>
          <w:lang w:val="en-US" w:eastAsia="zh-CN"/>
        </w:rPr>
        <w:t>池子里面代币</w:t>
      </w:r>
      <w:r>
        <w:rPr>
          <w:rFonts w:hint="default"/>
          <w:lang w:val="en-US" w:eastAsia="zh-CN"/>
        </w:rPr>
        <w:t>)+LP</w:t>
      </w:r>
      <w:r>
        <w:rPr>
          <w:rFonts w:hint="eastAsia"/>
          <w:lang w:val="en-US" w:eastAsia="zh-CN"/>
        </w:rPr>
        <w:t>流动性池价值÷</w:t>
      </w:r>
      <w:r>
        <w:rPr>
          <w:rFonts w:hint="default"/>
          <w:lang w:val="en-US" w:eastAsia="zh-CN"/>
        </w:rPr>
        <w:t>2]+</w:t>
      </w:r>
      <w:r>
        <w:rPr>
          <w:rFonts w:hint="eastAsia"/>
          <w:lang w:val="en-US" w:eastAsia="zh-CN"/>
        </w:rPr>
        <w:t>每枚代币设定的容差</w:t>
      </w:r>
      <w:r>
        <w:rPr>
          <w:rFonts w:hint="default"/>
          <w:lang w:val="en-US" w:eastAsia="zh-CN"/>
        </w:rPr>
        <w:t>=</w:t>
      </w:r>
      <w:r>
        <w:rPr>
          <w:rFonts w:hint="eastAsia"/>
          <w:lang w:val="en-US" w:eastAsia="zh-CN"/>
        </w:rPr>
        <w:t>买入的价格</w:t>
      </w:r>
    </w:p>
    <w:p w14:paraId="748B73B8">
      <w:pPr>
        <w:spacing w:line="240" w:lineRule="auto"/>
        <w:jc w:val="both"/>
        <w:rPr>
          <w:rFonts w:hint="eastAsia"/>
          <w:lang w:val="en-US" w:eastAsia="zh-CN"/>
        </w:rPr>
      </w:pPr>
    </w:p>
    <w:p w14:paraId="549174A1">
      <w:pPr>
        <w:spacing w:line="240" w:lineRule="auto"/>
        <w:jc w:val="both"/>
        <w:rPr>
          <w:rFonts w:hint="eastAsia"/>
          <w:lang w:val="en-US" w:eastAsia="zh-CN"/>
        </w:rPr>
      </w:pPr>
      <w:r>
        <w:rPr>
          <w:rFonts w:hint="eastAsia"/>
          <w:lang w:val="en-US" w:eastAsia="zh-CN"/>
        </w:rPr>
        <w:t>卖出价格</w:t>
      </w:r>
    </w:p>
    <w:p w14:paraId="7F04E186">
      <w:pPr>
        <w:spacing w:line="240" w:lineRule="auto"/>
        <w:jc w:val="both"/>
        <w:rPr>
          <w:rFonts w:hint="default"/>
          <w:lang w:val="en-US" w:eastAsia="zh-CN"/>
        </w:rPr>
      </w:pPr>
      <w:r>
        <w:rPr>
          <w:rFonts w:hint="default" w:ascii="Calibri" w:hAnsi="Calibri" w:eastAsia="宋体" w:cs="宋体"/>
          <w:b w:val="0"/>
          <w:bCs w:val="0"/>
          <w:i w:val="0"/>
          <w:iCs w:val="0"/>
          <w:color w:val="auto"/>
          <w:sz w:val="21"/>
          <w:szCs w:val="22"/>
          <w:highlight w:val="none"/>
          <w:vertAlign w:val="baseline"/>
          <w:lang w:val="en-US" w:eastAsia="zh-CN"/>
        </w:rPr>
        <w:t>[(对付</w:t>
      </w:r>
      <w:r>
        <w:rPr>
          <w:rFonts w:hint="default" w:ascii="Calibri" w:hAnsi="Calibri" w:eastAsia="宋体" w:cs="宋体"/>
          <w:b w:val="0"/>
          <w:bCs w:val="0"/>
          <w:i w:val="0"/>
          <w:iCs w:val="0"/>
          <w:color w:val="auto"/>
          <w:sz w:val="21"/>
          <w:szCs w:val="22"/>
          <w:highlight w:val="none"/>
          <w:vertAlign w:val="baseline"/>
          <w:lang w:eastAsia="zh-CN"/>
        </w:rPr>
        <w:t>储备金池÷全网用户持有流通数量包含</w:t>
      </w:r>
      <w:r>
        <w:rPr>
          <w:rFonts w:hint="default" w:ascii="Calibri" w:hAnsi="Calibri" w:eastAsia="宋体" w:cs="宋体"/>
          <w:b w:val="0"/>
          <w:bCs w:val="0"/>
          <w:i w:val="0"/>
          <w:iCs w:val="0"/>
          <w:color w:val="auto"/>
          <w:sz w:val="21"/>
          <w:szCs w:val="22"/>
          <w:highlight w:val="none"/>
          <w:vertAlign w:val="baseline"/>
          <w:lang w:val="en-US" w:eastAsia="zh-CN"/>
        </w:rPr>
        <w:t>LP池子里面代币)+LP流动性池价值÷2]</w:t>
      </w:r>
      <w:r>
        <w:rPr>
          <w:rFonts w:hint="eastAsia" w:ascii="Calibri" w:hAnsi="Calibri" w:eastAsia="宋体" w:cs="宋体"/>
          <w:b w:val="0"/>
          <w:bCs w:val="0"/>
          <w:i w:val="0"/>
          <w:iCs w:val="0"/>
          <w:color w:val="auto"/>
          <w:sz w:val="21"/>
          <w:szCs w:val="22"/>
          <w:highlight w:val="none"/>
          <w:vertAlign w:val="baseline"/>
          <w:lang w:val="en-US" w:eastAsia="zh-CN"/>
        </w:rPr>
        <w:t>-</w:t>
      </w:r>
      <w:r>
        <w:rPr>
          <w:rFonts w:hint="default" w:ascii="Calibri" w:hAnsi="Calibri" w:eastAsia="宋体" w:cs="宋体"/>
          <w:b w:val="0"/>
          <w:bCs w:val="0"/>
          <w:i w:val="0"/>
          <w:iCs w:val="0"/>
          <w:color w:val="auto"/>
          <w:sz w:val="21"/>
          <w:szCs w:val="22"/>
          <w:highlight w:val="none"/>
          <w:vertAlign w:val="baseline"/>
          <w:lang w:val="en-US" w:eastAsia="zh-CN"/>
        </w:rPr>
        <w:t>LP池子深度越高容差越低兑付能力越高</w:t>
      </w:r>
      <w:r>
        <w:rPr>
          <w:rFonts w:hint="eastAsia" w:ascii="宋体" w:hAnsi="宋体" w:eastAsia="宋体" w:cs="宋体"/>
          <w:color w:val="auto"/>
          <w:spacing w:val="0"/>
          <w:position w:val="0"/>
          <w:sz w:val="21"/>
          <w:shd w:val="clear" w:color="auto" w:fill="auto"/>
          <w:lang w:eastAsia="zh-CN"/>
        </w:rPr>
        <w:t>\</w:t>
      </w:r>
      <w:r>
        <w:rPr>
          <w:rFonts w:hint="eastAsia"/>
          <w:lang w:val="en-US" w:eastAsia="zh-CN"/>
        </w:rPr>
        <w:t>容差</w:t>
      </w:r>
      <w:r>
        <w:rPr>
          <w:rFonts w:hint="default" w:ascii="Calibri" w:hAnsi="Calibri" w:eastAsia="宋体" w:cs="宋体"/>
          <w:b w:val="0"/>
          <w:bCs w:val="0"/>
          <w:i w:val="0"/>
          <w:iCs w:val="0"/>
          <w:color w:val="auto"/>
          <w:sz w:val="21"/>
          <w:szCs w:val="22"/>
          <w:highlight w:val="none"/>
          <w:vertAlign w:val="baseline"/>
          <w:lang w:val="en-US" w:eastAsia="zh-CN"/>
        </w:rPr>
        <w:t>越</w:t>
      </w:r>
      <w:r>
        <w:rPr>
          <w:rFonts w:hint="eastAsia" w:ascii="宋体" w:hAnsi="宋体" w:eastAsia="宋体" w:cs="宋体"/>
          <w:color w:val="auto"/>
          <w:spacing w:val="0"/>
          <w:position w:val="0"/>
          <w:sz w:val="21"/>
          <w:shd w:val="clear" w:color="auto" w:fill="auto"/>
          <w:lang w:eastAsia="zh-CN"/>
        </w:rPr>
        <w:t>低</w:t>
      </w:r>
      <w:r>
        <w:rPr>
          <w:rFonts w:hint="default" w:ascii="Calibri" w:hAnsi="Calibri" w:eastAsia="宋体" w:cs="宋体"/>
          <w:b w:val="0"/>
          <w:bCs w:val="0"/>
          <w:i w:val="0"/>
          <w:iCs w:val="0"/>
          <w:color w:val="auto"/>
          <w:sz w:val="21"/>
          <w:szCs w:val="22"/>
          <w:highlight w:val="none"/>
          <w:vertAlign w:val="baseline"/>
          <w:lang w:val="en-US" w:eastAsia="zh-CN"/>
        </w:rPr>
        <w:t>=</w:t>
      </w:r>
      <w:r>
        <w:rPr>
          <w:rFonts w:hint="eastAsia"/>
          <w:lang w:val="en-US" w:eastAsia="zh-CN"/>
        </w:rPr>
        <w:t>卖</w:t>
      </w:r>
      <w:r>
        <w:rPr>
          <w:rFonts w:hint="default" w:ascii="Calibri" w:hAnsi="Calibri" w:eastAsia="宋体" w:cs="宋体"/>
          <w:b w:val="0"/>
          <w:bCs w:val="0"/>
          <w:i w:val="0"/>
          <w:iCs w:val="0"/>
          <w:color w:val="auto"/>
          <w:sz w:val="21"/>
          <w:szCs w:val="22"/>
          <w:highlight w:val="none"/>
          <w:vertAlign w:val="baseline"/>
          <w:lang w:val="en-US" w:eastAsia="zh-CN"/>
        </w:rPr>
        <w:t>出的价格</w:t>
      </w:r>
      <w:r>
        <w:rPr>
          <w:rFonts w:hint="default"/>
          <w:lang w:val="en-US" w:eastAsia="zh-CN"/>
        </w:rPr>
        <w:t>]</w:t>
      </w:r>
    </w:p>
    <w:p w14:paraId="08D87DDF">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p>
    <w:p w14:paraId="6BA88E1F">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买入代币的算法（起始流通量为1）</w:t>
      </w:r>
    </w:p>
    <w:p w14:paraId="656925AC">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1. 初始化:</w:t>
      </w:r>
    </w:p>
    <w:p w14:paraId="53A75F0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初始兑付储备金 R = 1.01U</w:t>
      </w:r>
    </w:p>
    <w:p w14:paraId="240D7C87">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初始市场流通量 C = 1</w:t>
      </w:r>
    </w:p>
    <w:p w14:paraId="78B9C98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2. 计算每一枚代币的购买成本:</w:t>
      </w:r>
    </w:p>
    <w:p w14:paraId="37907F6C">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对于每一枚代币 i（从2到101，因为已经存在1枚）:</w:t>
      </w:r>
    </w:p>
    <w:p w14:paraId="52A20EE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计算当前价格 P_i = \frac{R}{C}</w:t>
      </w:r>
    </w:p>
    <w:p w14:paraId="179193E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计算购买成本 \text{Cost}_i = P_i \times 1.01</w:t>
      </w:r>
    </w:p>
    <w:p w14:paraId="29704BD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更新兑付储备金 R = R + \text{Cost}_i</w:t>
      </w:r>
    </w:p>
    <w:p w14:paraId="1CB910D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更新市场流通量 C = C + 1</w:t>
      </w:r>
    </w:p>
    <w:p w14:paraId="031DD17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3. 计算总成本:</w:t>
      </w:r>
    </w:p>
    <w:p w14:paraId="61FD767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总成本 \text{Total Cost} = \sum_{i=2}^{101} \text{Cost}_i</w:t>
      </w:r>
    </w:p>
    <w:p w14:paraId="679FE16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4. 实际购买:</w:t>
      </w:r>
    </w:p>
    <w:p w14:paraId="40AAE2D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用户一次性支付总成本到兑付储备金 R_{\text{final}} = R + \text{Total Cost}</w:t>
      </w:r>
    </w:p>
    <w:p w14:paraId="08FFCDA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更新市场流通量 C_{\text{final}} = C + 100</w:t>
      </w:r>
    </w:p>
    <w:p w14:paraId="0A450A4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5. 计算新的代币价格:</w:t>
      </w:r>
    </w:p>
    <w:p w14:paraId="4D19C9B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P_{\text{final}} = \frac{R_{\text{final}}}{C_{\text{final}}}</w:t>
      </w:r>
    </w:p>
    <w:p w14:paraId="57C8C52C">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卖出代币的算法</w:t>
      </w:r>
    </w:p>
    <w:p w14:paraId="3D892DF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1. 初始化:</w:t>
      </w:r>
    </w:p>
    <w:p w14:paraId="7066EB6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当前兑付储备金 R = R_{\text{final}}</w:t>
      </w:r>
    </w:p>
    <w:p w14:paraId="4653FC61">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当前市场流通量 C = C_{\text{final}}</w:t>
      </w:r>
    </w:p>
    <w:p w14:paraId="7573A267">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用户要卖出的代币数量 m</w:t>
      </w:r>
    </w:p>
    <w:p w14:paraId="6E7BC07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2. 计算卖出金额:</w:t>
      </w:r>
    </w:p>
    <w:p w14:paraId="3DF97F5C">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\text{Amount} = P_{\text{final}} \times m</w:t>
      </w:r>
    </w:p>
    <w:p w14:paraId="7678308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3. 更新兑付储备金和市场流通量:</w:t>
      </w:r>
    </w:p>
    <w:p w14:paraId="3536FCB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 = R - \text{Amount}</w:t>
      </w:r>
    </w:p>
    <w:p w14:paraId="2A80D46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C' = C - m</w:t>
      </w:r>
    </w:p>
    <w:p w14:paraId="178C43C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4. 计算新的代币价格（如果 C' &gt; 0）:</w:t>
      </w:r>
    </w:p>
    <w:p w14:paraId="0233A97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 = \frac{R'}{C'}</w:t>
      </w:r>
    </w:p>
    <w:p w14:paraId="77AF4BBF">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解释</w:t>
      </w:r>
    </w:p>
    <w:p w14:paraId="3BC8C30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 和 C 分别代表兑付储备金和市场流通量。</w:t>
      </w:r>
    </w:p>
    <w:p w14:paraId="649ECC2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P_i 代表第 i 枚代币的当前价格。</w:t>
      </w:r>
    </w:p>
    <w:p w14:paraId="64D8452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\text{Cost}_i 代表第 i 枚代币的购买成本，包括1%的容差。</w:t>
      </w:r>
    </w:p>
    <w:p w14:paraId="7AAFA38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\text{Total Cost} 代表购买100枚代币的总成本。</w:t>
      </w:r>
    </w:p>
    <w:p w14:paraId="6E6E795F">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R_{\text{final}} 和 C_{\text{final}} 分别代表购买后的兑付储备金和市场流通量。</w:t>
      </w:r>
    </w:p>
    <w:p w14:paraId="247B33F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P_{\text{final}} 代表购买100枚代币后的新代币价格。</w:t>
      </w:r>
    </w:p>
    <w:p w14:paraId="7F66C95A">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m 代表用户要卖出的代币数量。</w:t>
      </w:r>
    </w:p>
    <w:p w14:paraId="42D0D59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\text{Amount} 代表卖出 m 枚代币所得的金额。</w:t>
      </w:r>
    </w:p>
    <w:p w14:paraId="0902025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 和 C' 分别代表卖出后的兑付储备金和市场流通量。</w:t>
      </w:r>
    </w:p>
    <w:p w14:paraId="458014F7">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 代表卖出 m 枚代币后的新代币价格。</w:t>
      </w:r>
    </w:p>
    <w:p w14:paraId="208B5ECF">
      <w:pPr>
        <w:spacing w:before="0" w:after="0" w:line="240" w:lineRule="auto"/>
        <w:ind w:right="0"/>
        <w:jc w:val="both"/>
        <w:rPr>
          <w:rFonts w:hint="eastAsia" w:ascii="Calibri" w:hAnsi="Calibri" w:cs="Calibri"/>
          <w:color w:val="auto"/>
          <w:spacing w:val="0"/>
          <w:position w:val="0"/>
          <w:sz w:val="21"/>
          <w:shd w:val="clear" w:color="auto" w:fill="auto"/>
          <w:lang w:eastAsia="zh-CN"/>
        </w:rPr>
      </w:pPr>
    </w:p>
    <w:p w14:paraId="4F94CA4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挂单交易订单簿</w:t>
      </w:r>
    </w:p>
    <w:p w14:paraId="0C4D8A6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1F7072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概述</w:t>
      </w:r>
    </w:p>
    <w:p w14:paraId="1CFA874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挂单交易订单簿是交易平台的核心功能之一，它允许用户根据市场条件设置买卖订单。用户可以指定交易的价格和数量，订单将按照用户设定的条件在订单簿中排队等待成交。</w:t>
      </w:r>
    </w:p>
    <w:p w14:paraId="3F95FA5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643076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功能描述</w:t>
      </w:r>
    </w:p>
    <w:p w14:paraId="798BEE7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挂单交易</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用户可以设置一个期望的交易价格，并在该价格达到时自动成交。</w:t>
      </w:r>
    </w:p>
    <w:p w14:paraId="6DF1805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订单匹配</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挂单交易不会直接进入流动池，而是在订单簿中等待匹配。</w:t>
      </w:r>
    </w:p>
    <w:p w14:paraId="0C61D2D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灵活性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用户可以更灵活地控制交易时机和价格。</w:t>
      </w:r>
    </w:p>
    <w:p w14:paraId="144FD32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5881D0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卖单挂单</w:t>
      </w:r>
    </w:p>
    <w:p w14:paraId="72B68B1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设置卖单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用户可以设置一个卖单挂单，即在希望卖出的价格上挂出订单。</w:t>
      </w:r>
    </w:p>
    <w:p w14:paraId="2FE858A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等待成交</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订单将保留在订单簿中，直到市场价格达到用户设定的卖出价格。</w:t>
      </w:r>
    </w:p>
    <w:p w14:paraId="0C6EA60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市场条件</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此功能允许用户在不立即交易的情况下，等待市场达到预期的价格。</w:t>
      </w:r>
    </w:p>
    <w:p w14:paraId="7DEEEC0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DA856F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买单挂单</w:t>
      </w:r>
    </w:p>
    <w:p w14:paraId="78FC4C7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设置买单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类似地，用户也可以设置买单挂单，即在希望买入的价格上挂出订单。</w:t>
      </w:r>
    </w:p>
    <w:p w14:paraId="4500E8C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市场下跌策略</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这为用户提供了一种策略，以等待市场下跌至其期望的买入价格。</w:t>
      </w:r>
    </w:p>
    <w:p w14:paraId="45134D1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889D5B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订单管理</w:t>
      </w:r>
    </w:p>
    <w:p w14:paraId="45AA81A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查看订单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用户可以在订单簿中查看所有当前挂单的状态，包括自己的挂单。</w:t>
      </w:r>
    </w:p>
    <w:p w14:paraId="4E36F7B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取消订单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用户可以随时取消未成交的挂单。</w:t>
      </w:r>
    </w:p>
    <w:p w14:paraId="23110EE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订单更新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用户可以修改已有挂单的价格和数量，以适应市场变化。</w:t>
      </w:r>
    </w:p>
    <w:p w14:paraId="67B0AF9F">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28AE0A22">
      <w:pPr>
        <w:numPr>
          <w:ilvl w:val="0"/>
          <w:numId w:val="2"/>
        </w:num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 流动性池混合交易：用户可选择与流动性池进行混合交易，以快速匹配订单并成交。</w:t>
      </w:r>
    </w:p>
    <w:p w14:paraId="347E7231">
      <w:pPr>
        <w:numPr>
          <w:ilvl w:val="0"/>
          <w:numId w:val="0"/>
        </w:numPr>
        <w:spacing w:before="0" w:after="0" w:line="240" w:lineRule="auto"/>
        <w:ind w:right="0" w:rightChars="0"/>
        <w:jc w:val="both"/>
        <w:rPr>
          <w:rFonts w:hint="eastAsia" w:ascii="Calibri" w:hAnsi="Calibri" w:eastAsia="Calibri" w:cs="Calibri"/>
          <w:color w:val="auto"/>
          <w:spacing w:val="0"/>
          <w:position w:val="0"/>
          <w:sz w:val="21"/>
          <w:shd w:val="clear" w:color="auto" w:fill="auto"/>
        </w:rPr>
      </w:pPr>
    </w:p>
    <w:p w14:paraId="7A53BB18">
      <w:pPr>
        <w:numPr>
          <w:ilvl w:val="0"/>
          <w:numId w:val="2"/>
        </w:numPr>
        <w:spacing w:before="0" w:after="0" w:line="240" w:lineRule="auto"/>
        <w:ind w:left="0" w:leftChars="0" w:right="0" w:firstLine="0" w:firstLineChars="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 直接交易执行：用户可以选择直接交易模式，绕过流动性池，直接与订单簿上的对手方进行交易。</w:t>
      </w:r>
    </w:p>
    <w:p w14:paraId="44671D93">
      <w:pPr>
        <w:numPr>
          <w:ilvl w:val="0"/>
          <w:numId w:val="0"/>
        </w:numPr>
        <w:spacing w:before="0" w:after="0" w:line="240" w:lineRule="auto"/>
        <w:ind w:leftChars="0" w:right="0" w:rightChars="0"/>
        <w:jc w:val="both"/>
        <w:rPr>
          <w:rFonts w:hint="eastAsia" w:ascii="Calibri" w:hAnsi="Calibri" w:eastAsia="Calibri" w:cs="Calibri"/>
          <w:color w:val="auto"/>
          <w:spacing w:val="0"/>
          <w:position w:val="0"/>
          <w:sz w:val="21"/>
          <w:shd w:val="clear" w:color="auto" w:fill="auto"/>
        </w:rPr>
      </w:pPr>
    </w:p>
    <w:p w14:paraId="2DBF9972">
      <w:pPr>
        <w:numPr>
          <w:ilvl w:val="0"/>
          <w:numId w:val="2"/>
        </w:numPr>
        <w:spacing w:before="0" w:after="0" w:line="240" w:lineRule="auto"/>
        <w:ind w:left="0" w:leftChars="0" w:right="0" w:firstLine="0" w:firstLineChars="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 容差调整：系统提供容差调整功能，用户可以设置容差大小，以调整交易的波动性和速度。</w:t>
      </w:r>
    </w:p>
    <w:p w14:paraId="46FE03F9">
      <w:pPr>
        <w:numPr>
          <w:ilvl w:val="0"/>
          <w:numId w:val="0"/>
        </w:numPr>
        <w:spacing w:before="0" w:after="0" w:line="240" w:lineRule="auto"/>
        <w:ind w:leftChars="0" w:right="0" w:rightChars="0"/>
        <w:jc w:val="both"/>
        <w:rPr>
          <w:rFonts w:hint="eastAsia" w:ascii="Calibri" w:hAnsi="Calibri" w:eastAsia="Calibri" w:cs="Calibri"/>
          <w:color w:val="auto"/>
          <w:spacing w:val="0"/>
          <w:position w:val="0"/>
          <w:sz w:val="21"/>
          <w:shd w:val="clear" w:color="auto" w:fill="auto"/>
        </w:rPr>
      </w:pPr>
    </w:p>
    <w:p w14:paraId="756349D5">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7. 智能合约驱动：所有交易都通过智能合约自动执行，确保交易的透明性、安全性和去中心化。</w:t>
      </w:r>
    </w:p>
    <w:p w14:paraId="753F711D">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FLTS为用户提供了灵活性，允许他们根据市场条件和个人策略选择最佳的交易路径，无论是通过流动性池还是直接与订单簿上的对手方交易。</w:t>
      </w:r>
    </w:p>
    <w:p w14:paraId="4C44FEC9">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785E8D20">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用户主动撤销流动性池再平衡机制（User-Initiated Liquidity Pool Rebalancing Mechanism）</w:t>
      </w:r>
    </w:p>
    <w:p w14:paraId="139BFE33">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运行原理：</w:t>
      </w:r>
    </w:p>
    <w:p w14:paraId="0BB5D781">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1. 流动性池监控： 智能合约实时监控流动性池中的资产比例和总量，以确保交易的公平性和效率。</w:t>
      </w:r>
    </w:p>
    <w:p w14:paraId="7CC2E659">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2. 用户撤销流动性： 用户可以发起撤销流动性的请求，希望提取其之前添加的流动性。</w:t>
      </w:r>
    </w:p>
    <w:p w14:paraId="04843227">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3. 条件触发平衡： 仅在用户撤销流动性时，智能合约才会触发平衡机制。</w:t>
      </w:r>
    </w:p>
    <w:p w14:paraId="648B3C2F">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4. 资产比例计算： 智能合约根据用户最初添加流动性时的比例，计算应赎回的资产数量。</w:t>
      </w:r>
    </w:p>
    <w:p w14:paraId="485C2C23">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5. 多余资产分配：</w:t>
      </w:r>
    </w:p>
    <w:p w14:paraId="04C1064E">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如果因买入增多造成价格上涨，Uto份额会减少，USDT会增多。多余资产（如USDT）将按比例分配到其他流动性池中。</w:t>
      </w:r>
    </w:p>
    <w:p w14:paraId="117BAD5C">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如果因卖入增多造成价格下跌，Uto份额会增多，USDT会减少。多余资产（如Uto）将按比例分配到其他流动性池中。</w:t>
      </w:r>
    </w:p>
    <w:p w14:paraId="0624F00B">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6. 部分赎回执行： 用户赎回其存入时对应的资产份额。</w:t>
      </w:r>
    </w:p>
    <w:p w14:paraId="404FF7D9">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7. 缺少资产记录： 如果流动性不足，未能完全赎回的资产数量将被记录。</w:t>
      </w:r>
    </w:p>
    <w:p w14:paraId="698850E1">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8. 后续交易补足：</w:t>
      </w:r>
    </w:p>
    <w:p w14:paraId="6F9DDE1C">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当其他用户进行Uto卖出时，系统将缺少的Uto自动补足到之前添加流动性的用户钱包。</w:t>
      </w:r>
    </w:p>
    <w:p w14:paraId="13EC78D6">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当其他用户进行Uto买入时，系统将缺少的USDT自动补足到之前添加流动性的用户钱包。</w:t>
      </w:r>
    </w:p>
    <w:p w14:paraId="33E2AA3E">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9. 智能合约自动执行： 所有操作均由智能合约自动执行，确保操作的透明性和自动化。</w:t>
      </w:r>
    </w:p>
    <w:p w14:paraId="0B5F9A6B">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功能描述：</w:t>
      </w:r>
    </w:p>
    <w:p w14:paraId="1B7C2939">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1. 流动性池监控： 智能合约实时监控流动性池中的资产比例，确保交易的公平性和效率。</w:t>
      </w:r>
    </w:p>
    <w:p w14:paraId="50CB8ABA">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2. 用户撤销流动性： 用户可以随时请求撤销其添加的流动性。</w:t>
      </w:r>
    </w:p>
    <w:p w14:paraId="1C9ADBA0">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3. 条件触发平衡： 仅在用户撤销流动性时，触发智能合约的平衡机制。</w:t>
      </w:r>
    </w:p>
    <w:p w14:paraId="1014989C">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4. 资产比例计算： 智能合约确保用户按照最初存入的比例赎回资产。</w:t>
      </w:r>
    </w:p>
    <w:p w14:paraId="1E5779A2">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5. 多余资产分配： 多余资产被均分到其他流动性池中，以维持整个系统的流动性平衡。</w:t>
      </w:r>
    </w:p>
    <w:p w14:paraId="53910AF4">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6. 部分赎回执行： 用户获得与其存入比例相对应的资产。</w:t>
      </w:r>
    </w:p>
    <w:p w14:paraId="53F54867">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7. 缺少资产记录： 未能完全赎回的资产数量被记录，等待后续交易补足。</w:t>
      </w:r>
    </w:p>
    <w:p w14:paraId="3C7CC185">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8. 后续交易补足： 后续有用户进行相反交易时，系统将缺少的部分自动转到用户钱包地址。</w:t>
      </w:r>
    </w:p>
    <w:p w14:paraId="0A2216F5">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9. 智能合约自动执行： 智能合约确保所有操作的透明性和自动化。</w:t>
      </w:r>
    </w:p>
    <w:p w14:paraId="34F0D2DE">
      <w:pPr>
        <w:spacing w:line="240" w:lineRule="auto"/>
        <w:jc w:val="both"/>
        <w:rPr>
          <w:rFonts w:hint="default"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这种机制确保了用户在撤销流动性时能够获得其应得的资产份额，同时通过智能合约自动将多余资产分配到其他流动性池，并在后续交易中补足缺少的部分，从而保持了流动性池的整体平衡。</w:t>
      </w:r>
    </w:p>
    <w:bookmarkEnd w:id="0"/>
    <w:p w14:paraId="2FACAA53">
      <w:pPr>
        <w:spacing w:line="240" w:lineRule="auto"/>
        <w:jc w:val="both"/>
        <w:rPr>
          <w:rFonts w:hint="eastAsia"/>
        </w:rPr>
      </w:pPr>
    </w:p>
    <w:p w14:paraId="22E2937D">
      <w:pPr>
        <w:spacing w:line="240" w:lineRule="auto"/>
        <w:jc w:val="both"/>
        <w:rPr>
          <w:rFonts w:hint="eastAsia"/>
        </w:rPr>
      </w:pPr>
      <w:r>
        <w:rPr>
          <w:rFonts w:hint="eastAsia"/>
        </w:rPr>
        <w:t>买入权重计算：</w:t>
      </w:r>
    </w:p>
    <w:p w14:paraId="0FD29EC2">
      <w:pPr>
        <w:spacing w:line="240" w:lineRule="auto"/>
        <w:jc w:val="both"/>
        <w:rPr>
          <w:rFonts w:hint="eastAsia"/>
        </w:rPr>
      </w:pPr>
      <w:r>
        <w:rPr>
          <w:rFonts w:hint="eastAsia"/>
        </w:rPr>
        <w:t>1. Uto池子分析：</w:t>
      </w:r>
    </w:p>
    <w:p w14:paraId="364E295C">
      <w:pPr>
        <w:spacing w:line="240" w:lineRule="auto"/>
        <w:jc w:val="both"/>
        <w:rPr>
          <w:rFonts w:hint="eastAsia"/>
        </w:rPr>
      </w:pPr>
      <w:r>
        <w:rPr>
          <w:rFonts w:hint="eastAsia"/>
        </w:rPr>
        <w:t>系统首先分析Uto在流动性池和代币池中的分布情况，以确定哪个池子中的Uto份额较多。</w:t>
      </w:r>
    </w:p>
    <w:p w14:paraId="210B4F61">
      <w:pPr>
        <w:spacing w:line="240" w:lineRule="auto"/>
        <w:jc w:val="both"/>
        <w:rPr>
          <w:rFonts w:hint="eastAsia"/>
        </w:rPr>
      </w:pPr>
      <w:r>
        <w:rPr>
          <w:rFonts w:hint="eastAsia"/>
        </w:rPr>
        <w:t>2. USDT分配：</w:t>
      </w:r>
    </w:p>
    <w:p w14:paraId="66CDE92D">
      <w:pPr>
        <w:spacing w:line="240" w:lineRule="auto"/>
        <w:jc w:val="both"/>
        <w:rPr>
          <w:rFonts w:hint="eastAsia"/>
        </w:rPr>
      </w:pPr>
      <w:r>
        <w:rPr>
          <w:rFonts w:hint="eastAsia"/>
        </w:rPr>
        <w:t>根据Uto的分布，系统将USDT按比例分配到对手储备金池和LP流动性池。大部分USDT将转入对手储备金池，以确保有足够的储备金支持Uto的买入。</w:t>
      </w:r>
    </w:p>
    <w:p w14:paraId="5F0AAC44">
      <w:pPr>
        <w:spacing w:line="240" w:lineRule="auto"/>
        <w:jc w:val="both"/>
        <w:rPr>
          <w:rFonts w:hint="eastAsia"/>
        </w:rPr>
      </w:pPr>
      <w:r>
        <w:rPr>
          <w:rFonts w:hint="eastAsia"/>
        </w:rPr>
        <w:t>3. LP流动性池补充：</w:t>
      </w:r>
    </w:p>
    <w:p w14:paraId="1BC3875F">
      <w:pPr>
        <w:spacing w:line="240" w:lineRule="auto"/>
        <w:jc w:val="both"/>
        <w:rPr>
          <w:rFonts w:hint="eastAsia"/>
        </w:rPr>
      </w:pPr>
      <w:r>
        <w:rPr>
          <w:rFonts w:hint="eastAsia"/>
        </w:rPr>
        <w:t>剩余的少部分USDT将转入LP流动性池，以维持流动性池的深度和交易的即时性。</w:t>
      </w:r>
    </w:p>
    <w:p w14:paraId="7EEF4F83">
      <w:pPr>
        <w:spacing w:line="240" w:lineRule="auto"/>
        <w:jc w:val="both"/>
        <w:rPr>
          <w:rFonts w:hint="eastAsia"/>
        </w:rPr>
      </w:pPr>
      <w:r>
        <w:rPr>
          <w:rFonts w:hint="eastAsia"/>
        </w:rPr>
        <w:t>4. Uto转出：</w:t>
      </w:r>
    </w:p>
    <w:p w14:paraId="312F2352">
      <w:pPr>
        <w:spacing w:line="240" w:lineRule="auto"/>
        <w:jc w:val="both"/>
        <w:rPr>
          <w:rFonts w:hint="eastAsia"/>
        </w:rPr>
      </w:pPr>
      <w:r>
        <w:rPr>
          <w:rFonts w:hint="eastAsia"/>
        </w:rPr>
        <w:t>同时，系统将按比例从代币池子和LP流动性池转出Uto到用户的钱包，完成买入交易。</w:t>
      </w:r>
    </w:p>
    <w:p w14:paraId="43DBE2A7">
      <w:pPr>
        <w:spacing w:line="240" w:lineRule="auto"/>
        <w:jc w:val="both"/>
        <w:rPr>
          <w:rFonts w:hint="eastAsia"/>
        </w:rPr>
      </w:pPr>
      <w:r>
        <w:rPr>
          <w:rFonts w:hint="eastAsia"/>
        </w:rPr>
        <w:t>卖出权重计算：</w:t>
      </w:r>
    </w:p>
    <w:p w14:paraId="29CB68F7">
      <w:pPr>
        <w:spacing w:line="240" w:lineRule="auto"/>
        <w:jc w:val="both"/>
        <w:rPr>
          <w:rFonts w:hint="eastAsia"/>
        </w:rPr>
      </w:pPr>
      <w:r>
        <w:rPr>
          <w:rFonts w:hint="eastAsia"/>
        </w:rPr>
        <w:t>1. USDT池子分析：</w:t>
      </w:r>
    </w:p>
    <w:p w14:paraId="0000E1D5">
      <w:pPr>
        <w:spacing w:line="240" w:lineRule="auto"/>
        <w:jc w:val="both"/>
        <w:rPr>
          <w:rFonts w:hint="eastAsia"/>
        </w:rPr>
      </w:pPr>
      <w:r>
        <w:rPr>
          <w:rFonts w:hint="eastAsia"/>
        </w:rPr>
        <w:t>系统分析USDT在流动性池中的份额，以确定卖出操作对流动性池的影响。</w:t>
      </w:r>
    </w:p>
    <w:p w14:paraId="078B8CEF">
      <w:pPr>
        <w:spacing w:line="240" w:lineRule="auto"/>
        <w:jc w:val="both"/>
        <w:rPr>
          <w:rFonts w:hint="eastAsia"/>
        </w:rPr>
      </w:pPr>
      <w:r>
        <w:rPr>
          <w:rFonts w:hint="eastAsia"/>
        </w:rPr>
        <w:t>2. Uto转入：</w:t>
      </w:r>
    </w:p>
    <w:p w14:paraId="3D0BD8E5">
      <w:pPr>
        <w:spacing w:line="240" w:lineRule="auto"/>
        <w:jc w:val="both"/>
        <w:rPr>
          <w:rFonts w:hint="eastAsia"/>
        </w:rPr>
      </w:pPr>
      <w:r>
        <w:rPr>
          <w:rFonts w:hint="eastAsia"/>
        </w:rPr>
        <w:t>根据USDT的份额，系统将按比例将Uto转入代币池子和LP流动性池，以补充因卖出操作而减少的Uto份额。</w:t>
      </w:r>
    </w:p>
    <w:p w14:paraId="736AAB86">
      <w:pPr>
        <w:spacing w:line="240" w:lineRule="auto"/>
        <w:jc w:val="both"/>
        <w:rPr>
          <w:rFonts w:hint="eastAsia"/>
        </w:rPr>
      </w:pPr>
      <w:r>
        <w:rPr>
          <w:rFonts w:hint="eastAsia"/>
        </w:rPr>
        <w:t>3. USDT转出：</w:t>
      </w:r>
    </w:p>
    <w:p w14:paraId="6A6D5FF6">
      <w:pPr>
        <w:spacing w:line="240" w:lineRule="auto"/>
        <w:jc w:val="both"/>
        <w:rPr>
          <w:rFonts w:hint="eastAsia"/>
        </w:rPr>
      </w:pPr>
      <w:r>
        <w:rPr>
          <w:rFonts w:hint="eastAsia"/>
        </w:rPr>
        <w:t>同时，系统将按比例将USDT转出到用户钱包地址，完成卖出交易。</w:t>
      </w:r>
    </w:p>
    <w:p w14:paraId="5C27020C">
      <w:pPr>
        <w:spacing w:line="240" w:lineRule="auto"/>
        <w:jc w:val="both"/>
        <w:rPr>
          <w:rFonts w:hint="eastAsia"/>
        </w:rPr>
      </w:pPr>
      <w:r>
        <w:rPr>
          <w:rFonts w:hint="eastAsia"/>
        </w:rPr>
        <w:t>流动性池影响：</w:t>
      </w:r>
    </w:p>
    <w:p w14:paraId="32C03374">
      <w:pPr>
        <w:spacing w:line="240" w:lineRule="auto"/>
        <w:jc w:val="both"/>
        <w:rPr>
          <w:rFonts w:hint="eastAsia"/>
        </w:rPr>
      </w:pPr>
      <w:r>
        <w:rPr>
          <w:rFonts w:hint="eastAsia"/>
        </w:rPr>
        <w:t>1. 流动性池深度：</w:t>
      </w:r>
    </w:p>
    <w:p w14:paraId="39B40107">
      <w:pPr>
        <w:spacing w:line="240" w:lineRule="auto"/>
        <w:jc w:val="both"/>
        <w:rPr>
          <w:rFonts w:hint="eastAsia"/>
        </w:rPr>
      </w:pPr>
      <w:r>
        <w:rPr>
          <w:rFonts w:hint="eastAsia"/>
        </w:rPr>
        <w:t>LP流动性池的深度直接影响卖出操作的容差。流动性池越深，卖出操作的容差越低，即价格波动越小。</w:t>
      </w:r>
    </w:p>
    <w:p w14:paraId="7D194D1A">
      <w:pPr>
        <w:spacing w:line="240" w:lineRule="auto"/>
        <w:jc w:val="both"/>
        <w:rPr>
          <w:rFonts w:hint="eastAsia"/>
        </w:rPr>
      </w:pPr>
      <w:r>
        <w:rPr>
          <w:rFonts w:hint="eastAsia"/>
        </w:rPr>
        <w:t>2. 兑付能力：</w:t>
      </w:r>
    </w:p>
    <w:p w14:paraId="331B621A">
      <w:pPr>
        <w:spacing w:line="240" w:lineRule="auto"/>
        <w:jc w:val="both"/>
        <w:rPr>
          <w:rFonts w:hint="eastAsia"/>
        </w:rPr>
      </w:pPr>
      <w:r>
        <w:rPr>
          <w:rFonts w:hint="eastAsia"/>
        </w:rPr>
        <w:t>随着LP池子中资产的增加，系统的兑付能力增强，这降低了价格的跌幅度，因为市场有足够的流动性来吸收卖出压力。</w:t>
      </w:r>
    </w:p>
    <w:p w14:paraId="711A19F5">
      <w:pPr>
        <w:spacing w:line="240" w:lineRule="auto"/>
        <w:jc w:val="both"/>
        <w:rPr>
          <w:rFonts w:hint="eastAsia"/>
        </w:rPr>
      </w:pPr>
      <w:r>
        <w:rPr>
          <w:rFonts w:hint="eastAsia"/>
        </w:rPr>
        <w:t>3. 价格稳定性：</w:t>
      </w:r>
    </w:p>
    <w:p w14:paraId="216814C8">
      <w:pPr>
        <w:spacing w:line="240" w:lineRule="auto"/>
        <w:jc w:val="both"/>
        <w:rPr>
          <w:rFonts w:hint="eastAsia"/>
        </w:rPr>
      </w:pPr>
      <w:r>
        <w:rPr>
          <w:rFonts w:hint="eastAsia"/>
        </w:rPr>
        <w:t>因此，LP池子添加的资产越多，系统对市场波动的缓冲能力越强，从而提高了价格的稳定性。</w:t>
      </w:r>
    </w:p>
    <w:p w14:paraId="565B596F">
      <w:pPr>
        <w:spacing w:line="240" w:lineRule="auto"/>
        <w:jc w:val="both"/>
        <w:rPr>
          <w:rFonts w:hint="eastAsia"/>
        </w:rPr>
      </w:pPr>
      <w:r>
        <w:rPr>
          <w:rFonts w:hint="eastAsia"/>
        </w:rPr>
        <w:t>通过这些优化措施，FLTS系统能够更有效地管理流动性，确保交易的公平性和效率，同时为用户提供灵活的交易选择。智能合约的自动执行机制保证了所有操作的透明性和自动化，进一步增强了系统的可靠性和用户的信任度。</w:t>
      </w:r>
    </w:p>
    <w:p w14:paraId="2581B31C">
      <w:pPr>
        <w:spacing w:line="240" w:lineRule="auto"/>
        <w:jc w:val="both"/>
      </w:pPr>
    </w:p>
    <w:p w14:paraId="30A10694">
      <w:pPr>
        <w:spacing w:line="240" w:lineRule="auto"/>
        <w:jc w:val="both"/>
      </w:pPr>
      <w:r>
        <w:rPr>
          <w:rFonts w:hint="eastAsia" w:ascii="Calibri" w:hAnsi="Calibri" w:cs="Arial"/>
          <w:b w:val="0"/>
          <w:bCs w:val="0"/>
          <w:i w:val="0"/>
          <w:iCs w:val="0"/>
          <w:color w:val="auto"/>
          <w:kern w:val="2"/>
          <w:sz w:val="21"/>
          <w:szCs w:val="22"/>
          <w:highlight w:val="none"/>
          <w:vertAlign w:val="baseline"/>
          <w:lang w:val="en-US" w:eastAsia="zh-CN"/>
        </w:rPr>
        <w:t>模式</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二</w:t>
      </w:r>
      <w:r>
        <w:rPr>
          <w:rFonts w:hint="default" w:ascii="Calibri" w:hAnsi="Calibri" w:cs="Arial"/>
          <w:b w:val="0"/>
          <w:bCs w:val="0"/>
          <w:i w:val="0"/>
          <w:iCs w:val="0"/>
          <w:color w:val="auto"/>
          <w:kern w:val="2"/>
          <w:sz w:val="21"/>
          <w:szCs w:val="22"/>
          <w:highlight w:val="none"/>
          <w:vertAlign w:val="baseline"/>
          <w:lang w:val="en-US" w:eastAsia="zh-CN"/>
        </w:rPr>
        <w:t>.</w:t>
      </w:r>
      <w:r>
        <w:rPr>
          <w:rFonts w:hint="eastAsia" w:ascii="Calibri" w:hAnsi="Calibri" w:cs="Arial"/>
          <w:b w:val="0"/>
          <w:bCs w:val="0"/>
          <w:i w:val="0"/>
          <w:iCs w:val="0"/>
          <w:color w:val="auto"/>
          <w:kern w:val="2"/>
          <w:sz w:val="21"/>
          <w:szCs w:val="22"/>
          <w:highlight w:val="none"/>
          <w:vertAlign w:val="baseline"/>
          <w:lang w:val="en-US" w:eastAsia="zh-CN"/>
        </w:rPr>
        <w:t>传统</w:t>
      </w:r>
      <w:r>
        <w:rPr>
          <w:rFonts w:hint="default" w:ascii="Calibri" w:hAnsi="Calibri" w:cs="Arial"/>
          <w:b w:val="0"/>
          <w:bCs w:val="0"/>
          <w:i w:val="0"/>
          <w:iCs w:val="0"/>
          <w:color w:val="auto"/>
          <w:kern w:val="2"/>
          <w:sz w:val="21"/>
          <w:szCs w:val="22"/>
          <w:highlight w:val="none"/>
          <w:vertAlign w:val="baseline"/>
          <w:lang w:val="en-US" w:eastAsia="zh-CN"/>
        </w:rPr>
        <w:t>Swap</w:t>
      </w:r>
      <w:r>
        <w:rPr>
          <w:rFonts w:hint="eastAsia" w:ascii="Calibri" w:hAnsi="Calibri" w:cs="Arial"/>
          <w:b w:val="0"/>
          <w:bCs w:val="0"/>
          <w:i w:val="0"/>
          <w:iCs w:val="0"/>
          <w:color w:val="auto"/>
          <w:kern w:val="2"/>
          <w:sz w:val="21"/>
          <w:szCs w:val="22"/>
          <w:highlight w:val="none"/>
          <w:vertAlign w:val="baseline"/>
          <w:lang w:val="en-US" w:eastAsia="zh-CN"/>
        </w:rPr>
        <w:t>交互模型</w:t>
      </w:r>
    </w:p>
    <w:p w14:paraId="4AD4DA85">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72D48D0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容差设置:</w:t>
      </w:r>
      <w:r>
        <w:rPr>
          <w:rFonts w:hint="eastAsia" w:ascii="宋体" w:hAnsi="宋体" w:eastAsia="宋体" w:cs="宋体"/>
          <w:color w:val="auto"/>
          <w:spacing w:val="0"/>
          <w:position w:val="0"/>
          <w:sz w:val="21"/>
          <w:shd w:val="clear" w:color="auto" w:fill="auto"/>
        </w:rPr>
        <w:t>(</w:t>
      </w:r>
      <w:r>
        <w:rPr>
          <w:rFonts w:hint="eastAsia" w:ascii="宋体" w:hAnsi="宋体" w:eastAsia="宋体" w:cs="宋体"/>
          <w:color w:val="auto"/>
          <w:spacing w:val="0"/>
          <w:position w:val="0"/>
          <w:sz w:val="21"/>
          <w:shd w:val="clear" w:color="auto" w:fill="auto"/>
          <w:lang w:eastAsia="zh-CN"/>
        </w:rPr>
        <w:t>模式一可设定容差</w:t>
      </w:r>
      <w:r>
        <w:rPr>
          <w:rFonts w:hint="eastAsia" w:ascii="宋体" w:hAnsi="宋体" w:eastAsia="宋体" w:cs="宋体"/>
          <w:color w:val="auto"/>
          <w:spacing w:val="0"/>
          <w:position w:val="0"/>
          <w:sz w:val="21"/>
          <w:shd w:val="clear" w:color="auto" w:fill="auto"/>
        </w:rPr>
        <w:t>)</w:t>
      </w:r>
      <w:r>
        <w:rPr>
          <w:rFonts w:hint="default" w:ascii="宋体" w:hAnsi="宋体" w:eastAsia="宋体" w:cs="宋体"/>
          <w:color w:val="auto"/>
          <w:spacing w:val="0"/>
          <w:position w:val="0"/>
          <w:sz w:val="21"/>
          <w:shd w:val="clear" w:color="auto" w:fill="auto"/>
          <w:lang w:val="en-US"/>
        </w:rPr>
        <w:t>(</w:t>
      </w:r>
      <w:r>
        <w:rPr>
          <w:rFonts w:hint="eastAsia" w:ascii="宋体" w:hAnsi="宋体" w:eastAsia="宋体" w:cs="宋体"/>
          <w:color w:val="auto"/>
          <w:spacing w:val="0"/>
          <w:position w:val="0"/>
          <w:sz w:val="21"/>
          <w:shd w:val="clear" w:color="auto" w:fill="auto"/>
          <w:lang w:val="en-US" w:eastAsia="zh-CN"/>
        </w:rPr>
        <w:t>模式</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二</w:t>
      </w:r>
      <w:r>
        <w:rPr>
          <w:rFonts w:hint="eastAsia" w:ascii="宋体" w:hAnsi="宋体" w:eastAsia="宋体" w:cs="宋体"/>
          <w:color w:val="auto"/>
          <w:spacing w:val="0"/>
          <w:position w:val="0"/>
          <w:sz w:val="21"/>
          <w:shd w:val="clear" w:color="auto" w:fill="auto"/>
          <w:lang w:val="en-US" w:eastAsia="zh-CN"/>
        </w:rPr>
        <w:t>属于自动容差</w:t>
      </w:r>
      <w:r>
        <w:rPr>
          <w:rFonts w:hint="default" w:ascii="宋体" w:hAnsi="宋体" w:eastAsia="宋体" w:cs="宋体"/>
          <w:color w:val="auto"/>
          <w:spacing w:val="0"/>
          <w:position w:val="0"/>
          <w:sz w:val="21"/>
          <w:shd w:val="clear" w:color="auto" w:fill="auto"/>
          <w:lang w:val="en-US"/>
        </w:rPr>
        <w:t>)</w:t>
      </w:r>
    </w:p>
    <w:p w14:paraId="4690224F">
      <w:p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用户可以设置</w:t>
      </w:r>
      <w:r>
        <w:rPr>
          <w:rFonts w:hint="eastAsia" w:ascii="宋体" w:hAnsi="宋体" w:eastAsia="宋体" w:cs="宋体"/>
          <w:color w:val="auto"/>
          <w:spacing w:val="0"/>
          <w:position w:val="0"/>
          <w:sz w:val="21"/>
          <w:shd w:val="clear" w:color="auto" w:fill="auto"/>
        </w:rPr>
        <w:t>每一枚币</w:t>
      </w:r>
      <w:r>
        <w:rPr>
          <w:rFonts w:ascii="宋体" w:hAnsi="宋体" w:eastAsia="宋体" w:cs="宋体"/>
          <w:color w:val="auto"/>
          <w:spacing w:val="0"/>
          <w:position w:val="0"/>
          <w:sz w:val="21"/>
          <w:shd w:val="clear" w:color="auto" w:fill="auto"/>
        </w:rPr>
        <w:t>容差值，容差值越大，代币价值的涨幅越快。</w:t>
      </w:r>
    </w:p>
    <w:p w14:paraId="7B1F7B77">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224088E4">
      <w:p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静态容差</w:t>
      </w:r>
      <w:r>
        <w:rPr>
          <w:rFonts w:ascii="宋体" w:hAnsi="宋体" w:eastAsia="宋体" w:cs="宋体"/>
          <w:color w:val="auto"/>
          <w:spacing w:val="0"/>
          <w:position w:val="0"/>
          <w:sz w:val="21"/>
          <w:shd w:val="clear" w:color="auto" w:fill="auto"/>
        </w:rPr>
        <w:t>容</w:t>
      </w:r>
      <w:r>
        <w:rPr>
          <w:rFonts w:hint="eastAsia" w:ascii="宋体" w:hAnsi="宋体" w:cs="宋体"/>
          <w:color w:val="auto"/>
          <w:spacing w:val="0"/>
          <w:position w:val="0"/>
          <w:sz w:val="21"/>
          <w:shd w:val="clear" w:color="auto" w:fill="auto"/>
          <w:lang w:val="en-US" w:eastAsia="zh-CN"/>
        </w:rPr>
        <w:t>:</w:t>
      </w:r>
      <w:r>
        <w:rPr>
          <w:rFonts w:ascii="宋体" w:hAnsi="宋体" w:eastAsia="宋体" w:cs="宋体"/>
          <w:color w:val="auto"/>
          <w:spacing w:val="0"/>
          <w:position w:val="0"/>
          <w:sz w:val="21"/>
          <w:shd w:val="clear" w:color="auto" w:fill="auto"/>
        </w:rPr>
        <w:t>差值的范围是从最低值精确到</w:t>
      </w:r>
      <w:r>
        <w:rPr>
          <w:rFonts w:ascii="Calibri" w:hAnsi="Calibri" w:eastAsia="Calibri" w:cs="Calibri"/>
          <w:color w:val="auto"/>
          <w:spacing w:val="0"/>
          <w:position w:val="0"/>
          <w:sz w:val="21"/>
          <w:shd w:val="clear" w:color="auto" w:fill="auto"/>
        </w:rPr>
        <w:t>18</w:t>
      </w:r>
      <w:r>
        <w:rPr>
          <w:rFonts w:ascii="宋体" w:hAnsi="宋体" w:eastAsia="宋体" w:cs="宋体"/>
          <w:color w:val="auto"/>
          <w:spacing w:val="0"/>
          <w:position w:val="0"/>
          <w:sz w:val="21"/>
          <w:shd w:val="clear" w:color="auto" w:fill="auto"/>
        </w:rPr>
        <w:t>位小数，到最高值</w:t>
      </w:r>
      <w:r>
        <w:rPr>
          <w:rFonts w:hint="eastAsia" w:cs="Calibri"/>
          <w:color w:val="auto"/>
          <w:spacing w:val="0"/>
          <w:position w:val="0"/>
          <w:sz w:val="21"/>
          <w:shd w:val="clear" w:color="auto" w:fill="auto"/>
          <w:lang w:val="en-US" w:eastAsia="zh-CN"/>
        </w:rPr>
        <w:t>50</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w:t>
      </w:r>
    </w:p>
    <w:p w14:paraId="00287F12">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49B7C048">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动态容差</w:t>
      </w:r>
    </w:p>
    <w:p w14:paraId="49D98E0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动态容差计算器</w:t>
      </w:r>
    </w:p>
    <w:p w14:paraId="034BEA3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数学公式：</w:t>
      </w:r>
    </w:p>
    <w:p w14:paraId="62DF498F">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T(x) = \text{起始容差} + \left( \frac{\text{最终容差} - \text{起始容差}}{\text{最多代币容差} - 1} \right) \times (x - 1)</w:t>
      </w:r>
    </w:p>
    <w:p w14:paraId="0974219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运行原理：</w:t>
      </w:r>
    </w:p>
    <w:p w14:paraId="6E650B7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1. 定义参数：</w:t>
      </w:r>
    </w:p>
    <w:p w14:paraId="3634F51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\text{起始容差}：代币市场流通量的初始容差，例如10%。</w:t>
      </w:r>
    </w:p>
    <w:p w14:paraId="2644EC5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\text{最终容差}：达到流动池流出90%时的容差，例如50%。</w:t>
      </w:r>
    </w:p>
    <w:p w14:paraId="28559E4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\text{最多代币容差}：达到最终容差时的代币数量，例如9000万枚。</w:t>
      </w:r>
    </w:p>
    <w:p w14:paraId="09414D9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2. 计算每枚代币容差增加量：</w:t>
      </w:r>
    </w:p>
    <w:p w14:paraId="187D927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\text{每枚代币容差增加量} = \frac{\text{最终容差} - \text{起始容差}}{\text{最多代币容差} - 1}</w:t>
      </w:r>
    </w:p>
    <w:p w14:paraId="0E3FBF7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3. 计算任意代币 x 的容差：</w:t>
      </w:r>
    </w:p>
    <w:p w14:paraId="54648B2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对于第一枚代币（x = 1），容差是 \text{起始容差}。</w:t>
      </w:r>
    </w:p>
    <w:p w14:paraId="27E64621">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对于每增加的一枚代币，容差增加 \text{每枚代币容差增加量}。</w:t>
      </w:r>
    </w:p>
    <w:p w14:paraId="375EE41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4. 应用公式：</w:t>
      </w:r>
    </w:p>
    <w:p w14:paraId="098863A7">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将 x（已发行的代币数量）代入公式，计算 T(x)。</w:t>
      </w:r>
    </w:p>
    <w:p w14:paraId="51E4A11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示例应用：</w:t>
      </w:r>
    </w:p>
    <w:p w14:paraId="368A8CF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起始容差：10%</w:t>
      </w:r>
    </w:p>
    <w:p w14:paraId="649ECE5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最终容差：50%</w:t>
      </w:r>
    </w:p>
    <w:p w14:paraId="01D9B04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最多代币容差：9000万枚</w:t>
      </w:r>
    </w:p>
    <w:p w14:paraId="7F4D89B7">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对于 x 枚代币：</w:t>
      </w:r>
    </w:p>
    <w:p w14:paraId="6F89614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T(x) = 10\% + \left( \frac{50\% - 10\%}{90,000,000 - 1} \right) \times (x - 1)</w:t>
      </w:r>
    </w:p>
    <w:p w14:paraId="0D44B99A">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简化公式：</w:t>
      </w:r>
    </w:p>
    <w:p w14:paraId="4C8CCCFF">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T(x) = 10\% + \frac{40\% \times (x - 1)}{89,999,999}</w:t>
      </w:r>
    </w:p>
    <w:p w14:paraId="6C300D6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这个公式将根据已发行的市场流通量数量 x 动态计算容差 T(x)，从10%线性增加到50%，直到达到9000万枚代币。</w:t>
      </w:r>
    </w:p>
    <w:p w14:paraId="6D341DF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注意：</w:t>
      </w:r>
    </w:p>
    <w:p w14:paraId="7E19DEA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如果 x 超过9000万枚，容差将保持在50%不变。</w:t>
      </w:r>
    </w:p>
    <w:p w14:paraId="36D9E76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确保 x 不超过总发行量1亿枚。</w:t>
      </w:r>
    </w:p>
    <w:p w14:paraId="0099EDC5">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1EB390D1">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47A11D14">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cs="Calibri"/>
          <w:color w:val="auto"/>
          <w:spacing w:val="0"/>
          <w:position w:val="0"/>
          <w:sz w:val="21"/>
          <w:shd w:val="clear" w:color="auto" w:fill="auto"/>
          <w:lang w:eastAsia="zh-CN"/>
        </w:rPr>
        <w:t>模式一示例</w:t>
      </w:r>
      <w:r>
        <w:rPr>
          <w:rFonts w:hint="default" w:ascii="Calibri" w:hAnsi="Calibri" w:cs="Calibri"/>
          <w:color w:val="auto"/>
          <w:spacing w:val="0"/>
          <w:position w:val="0"/>
          <w:sz w:val="21"/>
          <w:shd w:val="clear" w:color="auto" w:fill="auto"/>
          <w:lang w:val="en-US" w:eastAsia="zh-CN"/>
        </w:rPr>
        <w:t>(</w:t>
      </w:r>
      <w:r>
        <w:rPr>
          <w:rFonts w:hint="eastAsia" w:ascii="Calibri" w:hAnsi="Calibri" w:cs="Calibri"/>
          <w:color w:val="auto"/>
          <w:spacing w:val="0"/>
          <w:position w:val="0"/>
          <w:sz w:val="21"/>
          <w:shd w:val="clear" w:color="auto" w:fill="auto"/>
          <w:lang w:val="en-US" w:eastAsia="zh-CN"/>
        </w:rPr>
        <w:t>未计算动态容差</w:t>
      </w:r>
      <w:r>
        <w:rPr>
          <w:rFonts w:hint="default" w:ascii="Calibri" w:hAnsi="Calibri" w:cs="Calibri"/>
          <w:color w:val="auto"/>
          <w:spacing w:val="0"/>
          <w:position w:val="0"/>
          <w:sz w:val="21"/>
          <w:shd w:val="clear" w:color="auto" w:fill="auto"/>
          <w:lang w:val="en-US" w:eastAsia="zh-CN"/>
        </w:rPr>
        <w:t>)</w:t>
      </w:r>
    </w:p>
    <w:p w14:paraId="079D7FFA">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1. 初始条件：</w:t>
      </w:r>
    </w:p>
    <w:p w14:paraId="5B7C8A84">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总供应量：1亿枚</w:t>
      </w:r>
    </w:p>
    <w:p w14:paraId="495C821A">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兑付储备金：1.01U</w:t>
      </w:r>
    </w:p>
    <w:p w14:paraId="0F09CF95">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起始价格：1.01U</w:t>
      </w:r>
    </w:p>
    <w:p w14:paraId="43463C99">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动态</w:t>
      </w:r>
      <w:r>
        <w:rPr>
          <w:rFonts w:hint="default" w:ascii="Calibri" w:hAnsi="Calibri" w:cs="Calibri"/>
          <w:color w:val="auto"/>
          <w:spacing w:val="0"/>
          <w:position w:val="0"/>
          <w:sz w:val="21"/>
          <w:shd w:val="clear" w:color="auto" w:fill="auto"/>
          <w:lang w:val="en-US" w:eastAsia="zh-CN"/>
        </w:rPr>
        <w:t>容差：1</w:t>
      </w:r>
      <w:r>
        <w:rPr>
          <w:rFonts w:hint="eastAsia" w:ascii="Calibri" w:hAnsi="Calibri" w:cs="Calibri"/>
          <w:color w:val="auto"/>
          <w:spacing w:val="0"/>
          <w:position w:val="0"/>
          <w:sz w:val="21"/>
          <w:shd w:val="clear" w:color="auto" w:fill="auto"/>
          <w:lang w:val="en-US" w:eastAsia="zh-CN"/>
        </w:rPr>
        <w:t>～</w:t>
      </w:r>
      <w:r>
        <w:rPr>
          <w:rFonts w:hint="default" w:ascii="Calibri" w:hAnsi="Calibri" w:cs="Calibri"/>
          <w:color w:val="auto"/>
          <w:spacing w:val="0"/>
          <w:position w:val="0"/>
          <w:sz w:val="21"/>
          <w:shd w:val="clear" w:color="auto" w:fill="auto"/>
          <w:lang w:val="en-US" w:eastAsia="zh-CN"/>
        </w:rPr>
        <w:t>20%(</w:t>
      </w:r>
      <w:r>
        <w:rPr>
          <w:rFonts w:hint="eastAsia" w:ascii="Calibri" w:hAnsi="Calibri" w:cs="Calibri"/>
          <w:color w:val="auto"/>
          <w:spacing w:val="0"/>
          <w:position w:val="0"/>
          <w:sz w:val="21"/>
          <w:shd w:val="clear" w:color="auto" w:fill="auto"/>
          <w:lang w:val="en-US" w:eastAsia="zh-CN"/>
        </w:rPr>
        <w:t>线性增加</w:t>
      </w:r>
      <w:r>
        <w:rPr>
          <w:rFonts w:hint="default" w:ascii="Calibri" w:hAnsi="Calibri" w:cs="Calibri"/>
          <w:color w:val="auto"/>
          <w:spacing w:val="0"/>
          <w:position w:val="0"/>
          <w:sz w:val="21"/>
          <w:shd w:val="clear" w:color="auto" w:fill="auto"/>
          <w:lang w:val="en-US" w:eastAsia="zh-CN"/>
        </w:rPr>
        <w:t>)</w:t>
      </w:r>
    </w:p>
    <w:p w14:paraId="6A7D3135">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容差代币区间</w:t>
      </w:r>
      <w:r>
        <w:rPr>
          <w:rFonts w:hint="default" w:ascii="Calibri" w:hAnsi="Calibri" w:cs="Calibri"/>
          <w:color w:val="auto"/>
          <w:spacing w:val="0"/>
          <w:position w:val="0"/>
          <w:sz w:val="21"/>
          <w:shd w:val="clear" w:color="auto" w:fill="auto"/>
          <w:lang w:val="en-US" w:eastAsia="zh-CN"/>
        </w:rPr>
        <w:t>:2</w:t>
      </w:r>
      <w:r>
        <w:rPr>
          <w:rFonts w:hint="eastAsia" w:ascii="Calibri" w:hAnsi="Calibri" w:cs="Calibri"/>
          <w:color w:val="auto"/>
          <w:spacing w:val="0"/>
          <w:position w:val="0"/>
          <w:sz w:val="21"/>
          <w:shd w:val="clear" w:color="auto" w:fill="auto"/>
          <w:lang w:val="en-US" w:eastAsia="zh-CN"/>
        </w:rPr>
        <w:t>～</w:t>
      </w:r>
      <w:r>
        <w:rPr>
          <w:rFonts w:hint="default" w:ascii="Calibri" w:hAnsi="Calibri" w:cs="Calibri"/>
          <w:color w:val="auto"/>
          <w:spacing w:val="0"/>
          <w:position w:val="0"/>
          <w:sz w:val="21"/>
          <w:shd w:val="clear" w:color="auto" w:fill="auto"/>
          <w:lang w:val="en-US" w:eastAsia="zh-CN"/>
        </w:rPr>
        <w:t>9000</w:t>
      </w:r>
      <w:r>
        <w:rPr>
          <w:rFonts w:hint="eastAsia" w:ascii="Calibri" w:hAnsi="Calibri" w:cs="Calibri"/>
          <w:color w:val="auto"/>
          <w:spacing w:val="0"/>
          <w:position w:val="0"/>
          <w:sz w:val="21"/>
          <w:shd w:val="clear" w:color="auto" w:fill="auto"/>
          <w:lang w:val="en-US" w:eastAsia="zh-CN"/>
        </w:rPr>
        <w:t>万枚</w:t>
      </w:r>
    </w:p>
    <w:p w14:paraId="0A6F8217">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p>
    <w:p w14:paraId="3ECA3A69">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卖出1%滑点1％LP分红Uto</w:t>
      </w:r>
    </w:p>
    <w:p w14:paraId="32086212">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p>
    <w:p w14:paraId="50B22509">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转账机制:</w:t>
      </w:r>
    </w:p>
    <w:p w14:paraId="67A2FAB0">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每次转账，10%的代币自动转入流动性池。</w:t>
      </w:r>
    </w:p>
    <w:p w14:paraId="4224BC67">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兑付机制:</w:t>
      </w:r>
    </w:p>
    <w:p w14:paraId="26358625">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兑付储备金中的USDT将转入用户钱包。</w:t>
      </w:r>
    </w:p>
    <w:p w14:paraId="086873CA">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交易示例:</w:t>
      </w:r>
    </w:p>
    <w:p w14:paraId="138208CA">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当前Uto的市场价值为2U/枚。</w:t>
      </w:r>
      <w:bookmarkStart w:id="1" w:name="_GoBack"/>
      <w:bookmarkEnd w:id="1"/>
    </w:p>
    <w:p w14:paraId="43375A7F">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2. A用户向B用户转账100枚Uto。</w:t>
      </w:r>
    </w:p>
    <w:p w14:paraId="55588BC1">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3. 交易完成后:</w:t>
      </w:r>
    </w:p>
    <w:p w14:paraId="070B8523">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B用户实际到账90枚Uto。</w:t>
      </w:r>
    </w:p>
    <w:p w14:paraId="71FF52FF">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B用户获得20枚USDT</w:t>
      </w:r>
    </w:p>
    <w:p w14:paraId="51A7A53C">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p>
    <w:p w14:paraId="363255AE">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交易流程:</w:t>
      </w:r>
    </w:p>
    <w:p w14:paraId="5137C027">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A用户发起100枚Uto的转账请求。</w:t>
      </w:r>
    </w:p>
    <w:p w14:paraId="435A9386">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2. 系统自动计算10%的转账手续费，即10枚Uto转入流动性池。</w:t>
      </w:r>
    </w:p>
    <w:p w14:paraId="7F0E2EC8">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3. 扣除手续费后，B用户实际收到90枚Uto。</w:t>
      </w:r>
    </w:p>
    <w:p w14:paraId="2AD8386F">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4. 系统根据当前Uto的市场价值（2U/枚），计算出10枚Uto对应的USDT价值（20U），并转入B用户的钱包。</w:t>
      </w:r>
    </w:p>
    <w:p w14:paraId="34F68CBC">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第1枚Uto代币购买：</w:t>
      </w:r>
    </w:p>
    <w:p w14:paraId="5FE0B052">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用户转入兑付储备金：1.01U + 0.01U（容差）= 1.02U</w:t>
      </w:r>
    </w:p>
    <w:p w14:paraId="36F460DC">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用户获得：1枚Uto</w:t>
      </w:r>
    </w:p>
    <w:p w14:paraId="6F97F994">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兑付储备金价值：1.01U + 1.02U = 2.03U</w:t>
      </w:r>
    </w:p>
    <w:p w14:paraId="1768E7AB">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市场流通量：1枚Uto + 1枚Uto = 2枚Uto</w:t>
      </w:r>
    </w:p>
    <w:p w14:paraId="16DD6255">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计算当前价值 = 兑付储备金价值 / 市场流通量 = 2.03U / 2 = 1.015U</w:t>
      </w:r>
    </w:p>
    <w:p w14:paraId="4153A160">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计算当前实际容差 = (1.02U - 1.015U) / 1.01U * 100 = 0.495%</w:t>
      </w:r>
    </w:p>
    <w:p w14:paraId="6FE54DD7">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计算总共实际容差 = (1.02U - 1.015U) / 1.01U * 100 = 0.495%</w:t>
      </w:r>
    </w:p>
    <w:p w14:paraId="5B77D250">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计算当前上涨率 = (1.015U - 1.01U) / 1.01U * 100 = 0.495%</w:t>
      </w:r>
    </w:p>
    <w:p w14:paraId="6EF98007">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 总共上涨率 = (1.015U - 1.01U) / 1.01U * 100 = 0.495%</w:t>
      </w:r>
    </w:p>
    <w:p w14:paraId="2034241A">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计算当前购买成本 = 1.01U</w:t>
      </w:r>
    </w:p>
    <w:p w14:paraId="18020306">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w:t>
      </w:r>
      <w:r>
        <w:rPr>
          <w:rFonts w:hint="eastAsia" w:ascii="Calibri" w:hAnsi="Calibri" w:cs="Calibri"/>
          <w:color w:val="auto"/>
          <w:spacing w:val="0"/>
          <w:position w:val="0"/>
          <w:sz w:val="21"/>
          <w:shd w:val="clear" w:color="auto" w:fill="auto"/>
          <w:lang w:val="en-US" w:eastAsia="zh-CN"/>
        </w:rPr>
        <w:t>累计</w:t>
      </w:r>
      <w:r>
        <w:rPr>
          <w:rFonts w:hint="default" w:ascii="Calibri" w:hAnsi="Calibri" w:cs="Calibri"/>
          <w:color w:val="auto"/>
          <w:spacing w:val="0"/>
          <w:position w:val="0"/>
          <w:sz w:val="21"/>
          <w:shd w:val="clear" w:color="auto" w:fill="auto"/>
          <w:lang w:val="en-US" w:eastAsia="zh-CN"/>
        </w:rPr>
        <w:t>购买总金额 = 1.02U</w:t>
      </w:r>
    </w:p>
    <w:p w14:paraId="5F7E0497">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w:t>
      </w:r>
      <w:r>
        <w:rPr>
          <w:rFonts w:hint="eastAsia" w:ascii="Calibri" w:hAnsi="Calibri" w:cs="Calibri"/>
          <w:color w:val="auto"/>
          <w:spacing w:val="0"/>
          <w:position w:val="0"/>
          <w:sz w:val="21"/>
          <w:shd w:val="clear" w:color="auto" w:fill="auto"/>
          <w:lang w:val="en-US" w:eastAsia="zh-CN"/>
        </w:rPr>
        <w:t>累计</w:t>
      </w:r>
      <w:r>
        <w:rPr>
          <w:rFonts w:hint="default" w:ascii="Calibri" w:hAnsi="Calibri" w:cs="Calibri"/>
          <w:color w:val="auto"/>
          <w:spacing w:val="0"/>
          <w:position w:val="0"/>
          <w:sz w:val="21"/>
          <w:shd w:val="clear" w:color="auto" w:fill="auto"/>
          <w:lang w:val="en-US" w:eastAsia="zh-CN"/>
        </w:rPr>
        <w:t>购买总数量 = 1</w:t>
      </w:r>
    </w:p>
    <w:p w14:paraId="6CF0345F">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w:t>
      </w:r>
      <w:r>
        <w:rPr>
          <w:rFonts w:hint="eastAsia" w:ascii="Calibri" w:hAnsi="Calibri" w:cs="Calibri"/>
          <w:color w:val="auto"/>
          <w:spacing w:val="0"/>
          <w:position w:val="0"/>
          <w:sz w:val="21"/>
          <w:shd w:val="clear" w:color="auto" w:fill="auto"/>
          <w:lang w:val="en-US" w:eastAsia="zh-CN"/>
        </w:rPr>
        <w:t>累计</w:t>
      </w:r>
      <w:r>
        <w:rPr>
          <w:rFonts w:hint="default" w:ascii="Calibri" w:hAnsi="Calibri" w:cs="Calibri"/>
          <w:color w:val="auto"/>
          <w:spacing w:val="0"/>
          <w:position w:val="0"/>
          <w:sz w:val="21"/>
          <w:shd w:val="clear" w:color="auto" w:fill="auto"/>
          <w:lang w:val="en-US" w:eastAsia="zh-CN"/>
        </w:rPr>
        <w:t>Uto总价值 = 1 * 1.015U = 1.015U</w:t>
      </w:r>
    </w:p>
    <w:p w14:paraId="733202DA">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w:t>
      </w:r>
      <w:r>
        <w:rPr>
          <w:rFonts w:hint="default" w:ascii="Calibri" w:hAnsi="Calibri" w:cs="Calibri"/>
          <w:color w:val="auto"/>
          <w:spacing w:val="0"/>
          <w:position w:val="0"/>
          <w:sz w:val="21"/>
          <w:shd w:val="clear" w:color="auto" w:fill="auto"/>
          <w:lang w:val="en-US" w:eastAsia="zh-CN"/>
        </w:rPr>
        <w:t>算立刻兑现亏损： 立刻兑现亏损 = (1.02U - 1.015U) / 1.01U * 100 = 0.495%</w:t>
      </w:r>
    </w:p>
    <w:p w14:paraId="5886925F">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p>
    <w:p w14:paraId="2034348B">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第2枚Uto代币</w:t>
      </w:r>
    </w:p>
    <w:p w14:paraId="3B49349F">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 初始条件更新：</w:t>
      </w:r>
    </w:p>
    <w:p w14:paraId="6E235B6E">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总供应量：1亿枚</w:t>
      </w:r>
    </w:p>
    <w:p w14:paraId="12BE2B46">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兑付储备金：2.03U（初始1.01U + 第一次购买的1.02U）</w:t>
      </w:r>
    </w:p>
    <w:p w14:paraId="4297DA73">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起始价格：1.01U</w:t>
      </w:r>
    </w:p>
    <w:p w14:paraId="34D67DD3">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容差：1%</w:t>
      </w:r>
    </w:p>
    <w:p w14:paraId="69B4E70C">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第2枚Uto代币购买：</w:t>
      </w:r>
    </w:p>
    <w:p w14:paraId="43651259">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用户转入兑付储备金：1.015U + 0.01015U（容差）= 1.02515U</w:t>
      </w:r>
    </w:p>
    <w:p w14:paraId="40B2B4A9">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用户获得：1枚Uto</w:t>
      </w:r>
    </w:p>
    <w:p w14:paraId="29ED6EC1">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兑付储备金价值：2.03U + 1.02515U = 3.05515U</w:t>
      </w:r>
    </w:p>
    <w:p w14:paraId="5999BA65">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市场流通量：2枚Uto + 1枚Uto = 3枚Uto</w:t>
      </w:r>
    </w:p>
    <w:p w14:paraId="7A3D86E9">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计算当前价值 = 兑付储备金价值 / 市场流通量 = 3.05515U / 3 = 1.01838333U</w:t>
      </w:r>
    </w:p>
    <w:p w14:paraId="0E828905">
      <w:pPr>
        <w:spacing w:before="0" w:after="0" w:line="240" w:lineRule="auto"/>
        <w:ind w:right="0"/>
        <w:jc w:val="both"/>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 xml:space="preserve">计算当前实际容差 </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(1.02515 - 1.01838333) / 1.02515 \times 100</w:t>
      </w: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 xml:space="preserve"> 0.66</w:t>
      </w:r>
      <w:r>
        <w:rPr>
          <w:rFonts w:hint="eastAsia" w:ascii="Calibri" w:hAnsi="Calibri" w:cs="Calibri"/>
          <w:b w:val="0"/>
          <w:bCs w:val="0"/>
          <w:i w:val="0"/>
          <w:iCs w:val="0"/>
          <w:color w:val="auto"/>
          <w:spacing w:val="0"/>
          <w:position w:val="0"/>
          <w:sz w:val="21"/>
          <w:szCs w:val="22"/>
          <w:highlight w:val="none"/>
          <w:shd w:val="clear" w:color="FFFFFF" w:fill="auto"/>
          <w:vertAlign w:val="baseline"/>
          <w:lang w:val="en-US" w:eastAsia="zh-CN"/>
        </w:rPr>
        <w:t>％</w:t>
      </w:r>
    </w:p>
    <w:p w14:paraId="1FA9DD8A">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计算总共实际容差 =((2.04515 - 2.03676666) / 2.04515) * 100 = 0.409913209％</w:t>
      </w:r>
    </w:p>
    <w:p w14:paraId="0EB8DB4C">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计算当前上涨率 = (1.01838333U - 1.015U) / 1.015U * 100 = 0.33%</w:t>
      </w:r>
    </w:p>
    <w:p w14:paraId="3D317020">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计算总共上涨率 = (1.01838333U - 1.015U + 0.00495U) / 1.01U * 100 = 0.83%</w:t>
      </w:r>
    </w:p>
    <w:p w14:paraId="6F7E4605">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计算当前购买成本 = 1.015U</w:t>
      </w:r>
    </w:p>
    <w:p w14:paraId="13B7713A">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计算累计购买总金额 =</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1.02+</w:t>
      </w: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1.0251</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5=2.04515U</w:t>
      </w:r>
    </w:p>
    <w:p w14:paraId="068F8C97">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计算累计购买总数量 = 2</w:t>
      </w:r>
    </w:p>
    <w:p w14:paraId="57DC63E3">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计算累计Uto总价值 = 2 * 1.01838333U = 2.03676666U</w:t>
      </w:r>
    </w:p>
    <w:p w14:paraId="1E83CA58">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计算立刻兑现亏损：立刻兑现亏损 = (1.02515U - 1.01838333U) / 1.015U * 100 = 0.67%</w:t>
      </w:r>
    </w:p>
    <w:p w14:paraId="6A0EE32E">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282ABCD7">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第3枚Uto代币购买：</w:t>
      </w:r>
    </w:p>
    <w:p w14:paraId="6D2DAEFB">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1. 初始条件更新：</w:t>
      </w:r>
    </w:p>
    <w:p w14:paraId="2841721D">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总供应量：1亿枚</w:t>
      </w:r>
    </w:p>
    <w:p w14:paraId="65608C44">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兑付储备金：3.05515U（初始1.01U + 第一次购买的1.02U + 第二次购买的1.02515U）</w:t>
      </w:r>
    </w:p>
    <w:p w14:paraId="73E57F8C">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起始价格：1.01U</w:t>
      </w:r>
    </w:p>
    <w:p w14:paraId="27351BA9">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容差：1%</w:t>
      </w:r>
    </w:p>
    <w:p w14:paraId="3F7117B0">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2. 第3枚Uto代币购买：</w:t>
      </w:r>
    </w:p>
    <w:p w14:paraId="65EE3A73">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用户转入兑付储备金：1.01838333U + 0.0101838333U（容差）= 1.0285671666U</w:t>
      </w:r>
    </w:p>
    <w:p w14:paraId="6C7A8067">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用户获得：1枚Uto</w:t>
      </w:r>
    </w:p>
    <w:p w14:paraId="3C8E1C38">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兑付储备金价值：3.05515U + 1.0285671666U = 4.0837171666U</w:t>
      </w:r>
    </w:p>
    <w:p w14:paraId="49B8AB25">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市场流通量：3枚Uto + 1枚Uto = 4枚Uto</w:t>
      </w:r>
    </w:p>
    <w:p w14:paraId="04502E7A">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3. 计算：</w:t>
      </w:r>
    </w:p>
    <w:p w14:paraId="532AEEA3">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计算当前价值 = 兑付储备金价值 / 市场流通量 = 4.0837171666U / 4 = 1.0209292917U</w:t>
      </w:r>
    </w:p>
    <w:p w14:paraId="6BEEB54B">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计算当前实际容差 = (1.0285671666U - 1.0209292917U) / 1.0285671666U * 100 = 0.67%</w:t>
      </w:r>
    </w:p>
    <w:p w14:paraId="1035293B">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计算总共实际容差 = (4.0837171666U - 4.0695695833U) / 4.0837171666U * 100 = 0.54%</w:t>
      </w:r>
    </w:p>
    <w:p w14:paraId="37D43D23">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计算当前上涨率 = (1.0209292917U - 1.01838333U) / 1.01838333U * 100 = 0.65%</w:t>
      </w:r>
    </w:p>
    <w:p w14:paraId="050AAD36">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计算总共上涨率 = (1.0209292917U - 1.01838333U + 0.00495U + 0.00338U) / 1.01U * 100 = 1.48%</w:t>
      </w:r>
    </w:p>
    <w:p w14:paraId="0322B83E">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计算当前购买成本 = 1.01838333U</w:t>
      </w:r>
    </w:p>
    <w:p w14:paraId="2ACB4B0B">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计算累计购买总金额 = 2.04515U + 1.0285671666U = 3.0737171666U</w:t>
      </w:r>
    </w:p>
    <w:p w14:paraId="6078C2E9">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计算累计购买总数量 = 3</w:t>
      </w:r>
    </w:p>
    <w:p w14:paraId="54FAD15D">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计算累计Uto总价值 = 3 * 1.0209292917U = 3.0627878751U</w:t>
      </w:r>
    </w:p>
    <w:p w14:paraId="0056A43E">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计算立刻兑现亏损：立刻兑现亏损 = (1.0285671666U - 1.0209292917U) / 1.01838333U * 100 = 0.67%</w:t>
      </w:r>
    </w:p>
    <w:p w14:paraId="637B29C9">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0353DEA0">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以下是设立只涨不跌的测试代码，你可以运行一下</w:t>
      </w:r>
      <w:r>
        <w:rPr>
          <w:rFonts w:hint="default" w:cs="Calibri"/>
          <w:color w:val="auto"/>
          <w:spacing w:val="0"/>
          <w:position w:val="0"/>
          <w:sz w:val="21"/>
          <w:shd w:val="clear" w:color="auto" w:fill="auto"/>
          <w:lang w:val="en-US" w:eastAsia="zh-CN"/>
        </w:rPr>
        <w:t>(Python)</w:t>
      </w:r>
    </w:p>
    <w:p w14:paraId="277F300E">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63B66E33">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import time</w:t>
      </w:r>
    </w:p>
    <w:p w14:paraId="1949C2C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from decimal import Decimal, getcontext</w:t>
      </w:r>
    </w:p>
    <w:p w14:paraId="5E0C1998">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59CE34A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设置精确度为18位</w:t>
      </w:r>
    </w:p>
    <w:p w14:paraId="161B073F">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getcontext().prec = 18</w:t>
      </w:r>
    </w:p>
    <w:p w14:paraId="49DE99E2">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4AFFB11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初始化参数</w:t>
      </w:r>
    </w:p>
    <w:p w14:paraId="668F5EB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reserve_fund = Decimal('1.01')  # 兑付储备金</w:t>
      </w:r>
    </w:p>
    <w:p w14:paraId="261D2187">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starting_price = Decimal('1.01')  # 起始价格</w:t>
      </w:r>
    </w:p>
    <w:p w14:paraId="723E9E0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tolerance = Decimal('0.01')  # 容差</w:t>
      </w:r>
    </w:p>
    <w:p w14:paraId="4A6FE5E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total_transactions = 100000000000  # 总交易次数，为了演示，这里设置为100次</w:t>
      </w:r>
    </w:p>
    <w:p w14:paraId="1F9B1F81">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07739C2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初始化变量</w:t>
      </w:r>
    </w:p>
    <w:p w14:paraId="02835942">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current_price = starting_price</w:t>
      </w:r>
    </w:p>
    <w:p w14:paraId="540880F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current_reserve_fund = reserve_fund</w:t>
      </w:r>
    </w:p>
    <w:p w14:paraId="72FBB043">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current_supply = Decimal('1')  # 初始市场流通量已经有1枚Uto代币</w:t>
      </w:r>
    </w:p>
    <w:p w14:paraId="552AD56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user_tokens = Decimal('1')  # 用户手上持有的代币数量，初始为1</w:t>
      </w:r>
    </w:p>
    <w:p w14:paraId="2A5700F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tokens_to_sell = Decimal('0.999')  # 每次卖出的代币数量</w:t>
      </w:r>
    </w:p>
    <w:p w14:paraId="5BEA571E">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7EDC6A80">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循环购买</w:t>
      </w:r>
    </w:p>
    <w:p w14:paraId="6049025B">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for i in range(1, total_transactions + 1):</w:t>
      </w:r>
    </w:p>
    <w:p w14:paraId="2A1EB71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计算买入前的价格</w:t>
      </w:r>
    </w:p>
    <w:p w14:paraId="017BFC4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price_before = current_reserve_fund / current_supply</w:t>
      </w:r>
    </w:p>
    <w:p w14:paraId="54F1C94B">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4E95E9EF">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计算每次购买的金额（买入价格 + 容差）</w:t>
      </w:r>
    </w:p>
    <w:p w14:paraId="1BAA055D">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buy_amount = current_price + (current_price * tolerance)</w:t>
      </w:r>
    </w:p>
    <w:p w14:paraId="25F2460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current_reserve_fund += buy_amount  # 更新储备金</w:t>
      </w:r>
    </w:p>
    <w:p w14:paraId="1702B82E">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5B59450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更新市场流通量</w:t>
      </w:r>
    </w:p>
    <w:p w14:paraId="0F8C808B">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current_supply += Decimal('1')</w:t>
      </w:r>
    </w:p>
    <w:p w14:paraId="7E9E6D8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user_tokens += Decimal('1')  # 用户每次购买1枚代币</w:t>
      </w:r>
    </w:p>
    <w:p w14:paraId="3CFE2517">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03DB4B2D">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计算买入后的价格</w:t>
      </w:r>
    </w:p>
    <w:p w14:paraId="77ED3A3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price_after = current_reserve_fund / current_supply</w:t>
      </w:r>
    </w:p>
    <w:p w14:paraId="12AE391A">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45C5F36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每满100次交易，卖出代币</w:t>
      </w:r>
    </w:p>
    <w:p w14:paraId="7EE2FDE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if i % 100 == 0:</w:t>
      </w:r>
    </w:p>
    <w:p w14:paraId="6F7C660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检查是否有足够的代币可以卖出</w:t>
      </w:r>
    </w:p>
    <w:p w14:paraId="4A46B69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if user_tokens &gt;= tokens_to_sell:</w:t>
      </w:r>
    </w:p>
    <w:p w14:paraId="69E4F6F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卖出代币，减少储备金和市场流通量</w:t>
      </w:r>
    </w:p>
    <w:p w14:paraId="3E1A21E2">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sell_amount = tokens_to_sell * price_after</w:t>
      </w:r>
    </w:p>
    <w:p w14:paraId="46614E4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current_reserve_fund -= sell_amount</w:t>
      </w:r>
    </w:p>
    <w:p w14:paraId="72788E8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user_tokens -= tokens_to_sell  # 卖出代币</w:t>
      </w:r>
    </w:p>
    <w:p w14:paraId="1B3AEA5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current_supply -= tokens_to_sell  # 减少市场流通量</w:t>
      </w:r>
    </w:p>
    <w:p w14:paraId="065DF030">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else:</w:t>
      </w:r>
    </w:p>
    <w:p w14:paraId="7AD9E8EF">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print(f"第{i+1}次交易：不足够代币卖出，当前持有量：{user_tokens}, 需要卖出：{tokens_to_sell}")</w:t>
      </w:r>
    </w:p>
    <w:p w14:paraId="73D38CE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user_tokens = Decimal('0')  # 如果没有足够的代币卖出，将用户持有量设置为0</w:t>
      </w:r>
    </w:p>
    <w:p w14:paraId="66E22016">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704D69FC">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计算总共上涨率</w:t>
      </w:r>
    </w:p>
    <w:p w14:paraId="058A112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total_rising_rate = (price_after - starting_price) / starting_price * Decimal('100')</w:t>
      </w:r>
    </w:p>
    <w:p w14:paraId="463F9D1D">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2F018B5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打印每次购买的结果</w:t>
      </w:r>
    </w:p>
    <w:p w14:paraId="5DDDCA15">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print(f"第{i+1}次购买：")</w:t>
      </w:r>
    </w:p>
    <w:p w14:paraId="7BE208B7">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print(f"购买金额: {buy_amount}")</w:t>
      </w:r>
    </w:p>
    <w:p w14:paraId="50EB22B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print(f"买入前价格: {price_before}")</w:t>
      </w:r>
    </w:p>
    <w:p w14:paraId="1212550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print(f"买入后价格: {price_after}")</w:t>
      </w:r>
    </w:p>
    <w:p w14:paraId="03BF098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print(f"总共上涨率: {total_rising_rate}")</w:t>
      </w:r>
    </w:p>
    <w:p w14:paraId="347633F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print(f"用户持有量: {user_tokens}")</w:t>
      </w:r>
    </w:p>
    <w:p w14:paraId="1A5D3A3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print(f"兑付储备金金额: {current_reserve_fund}")</w:t>
      </w:r>
    </w:p>
    <w:p w14:paraId="5F9326C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 * 50)</w:t>
      </w:r>
    </w:p>
    <w:p w14:paraId="70889EB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w:t>
      </w:r>
    </w:p>
    <w:p w14:paraId="0241C4C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更新当前价格为买入后的价格，准备下一次交易</w:t>
      </w:r>
    </w:p>
    <w:p w14:paraId="4E48002B">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current_price = price_after</w:t>
      </w:r>
    </w:p>
    <w:p w14:paraId="6CA551C9">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1F72BD57">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暂停0.01秒</w:t>
      </w:r>
    </w:p>
    <w:p w14:paraId="09970E3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time.sleep(0.01)</w:t>
      </w:r>
    </w:p>
    <w:p w14:paraId="1EAD07A3">
      <w:pPr>
        <w:spacing w:before="0" w:after="0" w:line="240" w:lineRule="auto"/>
        <w:ind w:left="0" w:right="0" w:firstLine="0"/>
        <w:jc w:val="both"/>
        <w:rPr>
          <w:rFonts w:hint="default" w:cs="Calibri"/>
          <w:color w:val="auto"/>
          <w:spacing w:val="0"/>
          <w:position w:val="0"/>
          <w:sz w:val="21"/>
          <w:shd w:val="clear" w:color="auto" w:fill="auto"/>
          <w:lang w:val="en-US" w:eastAsia="zh-CN"/>
        </w:rPr>
      </w:pPr>
    </w:p>
    <w:p w14:paraId="507091FB">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最终结果</w:t>
      </w:r>
    </w:p>
    <w:p w14:paraId="3093DE4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total_rising_rate = (current_price - starting_price) / starting_price * Decimal('100')</w:t>
      </w:r>
    </w:p>
    <w:p w14:paraId="24457592">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print(f"最终兑付储备金价值：{current_reserve_fund}")</w:t>
      </w:r>
    </w:p>
    <w:p w14:paraId="4A0329CD">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print(f"最终价格：{current_price}")</w:t>
      </w:r>
    </w:p>
    <w:p w14:paraId="639F44C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print(f"最终总共上涨率：{total_rising_rate}")</w:t>
      </w:r>
    </w:p>
    <w:p w14:paraId="3996B86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print(f"最终用户持有量：{user_tokens}")</w:t>
      </w:r>
    </w:p>
    <w:p w14:paraId="26B45E9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print(f"最终累计Uto总价值：{user_tokens * current_price}")</w:t>
      </w:r>
    </w:p>
    <w:p w14:paraId="02CAB7F7">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0438849E">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英文简称:Utoi</w:t>
      </w:r>
    </w:p>
    <w:p w14:paraId="6D38B19E">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代币池1亿枚</w:t>
      </w:r>
    </w:p>
    <w:p w14:paraId="080E6196">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兑付储备金:BTC份额25%、ETH份额25％、Uto份额50%(约等于1U)</w:t>
      </w:r>
    </w:p>
    <w:p w14:paraId="13AAA3F0">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全网用户持有:1枚Utoi</w:t>
      </w:r>
    </w:p>
    <w:p w14:paraId="5178056D">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价值计算:兑付储备金÷全网持有量=价值</w:t>
      </w:r>
    </w:p>
    <w:p w14:paraId="03C375B7">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容差算法:5%</w:t>
      </w:r>
    </w:p>
    <w:p w14:paraId="2DEFD131">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lang w:val="en-US" w:eastAsia="zh-CN"/>
        </w:rPr>
        <w:t>Swap:</w:t>
      </w:r>
      <w:r>
        <w:rPr>
          <w:rFonts w:hint="eastAsia" w:ascii="宋体" w:hAnsi="宋体" w:eastAsia="宋体" w:cs="宋体"/>
          <w:color w:val="auto"/>
          <w:spacing w:val="0"/>
          <w:position w:val="0"/>
          <w:sz w:val="21"/>
          <w:shd w:val="clear" w:color="auto" w:fill="auto"/>
          <w:lang w:eastAsia="zh-CN"/>
        </w:rPr>
        <w:t>模式一</w:t>
      </w:r>
    </w:p>
    <w:p w14:paraId="7473920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卖出1%滑点1％LP分红Utoi</w:t>
      </w:r>
    </w:p>
    <w:p w14:paraId="21858120">
      <w:pPr>
        <w:spacing w:line="240" w:lineRule="auto"/>
        <w:ind w:firstLine="0"/>
        <w:jc w:val="both"/>
      </w:pPr>
    </w:p>
    <w:p w14:paraId="40A9199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82C783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4.2API</w:t>
      </w:r>
      <w:r>
        <w:rPr>
          <w:rFonts w:ascii="宋体" w:hAnsi="宋体" w:eastAsia="宋体" w:cs="宋体"/>
          <w:color w:val="auto"/>
          <w:spacing w:val="0"/>
          <w:position w:val="0"/>
          <w:sz w:val="21"/>
          <w:shd w:val="clear" w:color="auto" w:fill="auto"/>
        </w:rPr>
        <w:t>设计</w:t>
      </w:r>
    </w:p>
    <w:p w14:paraId="20E317E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API</w:t>
      </w:r>
      <w:r>
        <w:rPr>
          <w:rFonts w:ascii="宋体" w:hAnsi="宋体" w:eastAsia="宋体" w:cs="宋体"/>
          <w:color w:val="auto"/>
          <w:spacing w:val="0"/>
          <w:position w:val="0"/>
          <w:sz w:val="21"/>
          <w:shd w:val="clear" w:color="auto" w:fill="auto"/>
        </w:rPr>
        <w:t>应提供完整的端点，以支持前端的所有功能。</w:t>
      </w:r>
    </w:p>
    <w:p w14:paraId="59240BD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应有安全措施，如认证和授权，保护</w:t>
      </w:r>
      <w:r>
        <w:rPr>
          <w:rFonts w:ascii="Calibri" w:hAnsi="Calibri" w:eastAsia="Calibri" w:cs="Calibri"/>
          <w:color w:val="auto"/>
          <w:spacing w:val="0"/>
          <w:position w:val="0"/>
          <w:sz w:val="21"/>
          <w:shd w:val="clear" w:color="auto" w:fill="auto"/>
        </w:rPr>
        <w:t>API</w:t>
      </w:r>
      <w:r>
        <w:rPr>
          <w:rFonts w:ascii="宋体" w:hAnsi="宋体" w:eastAsia="宋体" w:cs="宋体"/>
          <w:color w:val="auto"/>
          <w:spacing w:val="0"/>
          <w:position w:val="0"/>
          <w:sz w:val="21"/>
          <w:shd w:val="clear" w:color="auto" w:fill="auto"/>
        </w:rPr>
        <w:t>端点。</w:t>
      </w:r>
    </w:p>
    <w:p w14:paraId="2378586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E12A7C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4.3</w:t>
      </w:r>
      <w:r>
        <w:rPr>
          <w:rFonts w:ascii="宋体" w:hAnsi="宋体" w:eastAsia="宋体" w:cs="宋体"/>
          <w:color w:val="auto"/>
          <w:spacing w:val="0"/>
          <w:position w:val="0"/>
          <w:sz w:val="21"/>
          <w:shd w:val="clear" w:color="auto" w:fill="auto"/>
        </w:rPr>
        <w:t>服务器和网络</w:t>
      </w:r>
    </w:p>
    <w:p w14:paraId="4986E23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服务器应有足够的处理能力和存储空间。</w:t>
      </w:r>
    </w:p>
    <w:p w14:paraId="7E8C977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网络应设计为高可用性和安全性。</w:t>
      </w:r>
    </w:p>
    <w:p w14:paraId="27D87D2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0D695F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安全性设计</w:t>
      </w:r>
    </w:p>
    <w:p w14:paraId="3C572D5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A9F1CD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5.1</w:t>
      </w:r>
      <w:r>
        <w:rPr>
          <w:rFonts w:ascii="宋体" w:hAnsi="宋体" w:eastAsia="宋体" w:cs="宋体"/>
          <w:color w:val="auto"/>
          <w:spacing w:val="0"/>
          <w:position w:val="0"/>
          <w:sz w:val="21"/>
          <w:shd w:val="clear" w:color="auto" w:fill="auto"/>
        </w:rPr>
        <w:t>加密和认证</w:t>
      </w:r>
    </w:p>
    <w:p w14:paraId="6F0E70D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所有敏感数据应进行加密处理。</w:t>
      </w:r>
    </w:p>
    <w:p w14:paraId="5770DDF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用户认证应采用多因素认证方式。</w:t>
      </w:r>
    </w:p>
    <w:p w14:paraId="020AE14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7466F1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5.2</w:t>
      </w:r>
      <w:r>
        <w:rPr>
          <w:rFonts w:ascii="宋体" w:hAnsi="宋体" w:eastAsia="宋体" w:cs="宋体"/>
          <w:color w:val="auto"/>
          <w:spacing w:val="0"/>
          <w:position w:val="0"/>
          <w:sz w:val="21"/>
          <w:shd w:val="clear" w:color="auto" w:fill="auto"/>
        </w:rPr>
        <w:t>防御机制</w:t>
      </w:r>
    </w:p>
    <w:p w14:paraId="6347F62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系统应具备防止</w:t>
      </w:r>
      <w:r>
        <w:rPr>
          <w:rFonts w:ascii="Calibri" w:hAnsi="Calibri" w:eastAsia="Calibri" w:cs="Calibri"/>
          <w:color w:val="auto"/>
          <w:spacing w:val="0"/>
          <w:position w:val="0"/>
          <w:sz w:val="21"/>
          <w:shd w:val="clear" w:color="auto" w:fill="auto"/>
        </w:rPr>
        <w:t>DDoS</w:t>
      </w:r>
      <w:r>
        <w:rPr>
          <w:rFonts w:ascii="宋体" w:hAnsi="宋体" w:eastAsia="宋体" w:cs="宋体"/>
          <w:color w:val="auto"/>
          <w:spacing w:val="0"/>
          <w:position w:val="0"/>
          <w:sz w:val="21"/>
          <w:shd w:val="clear" w:color="auto" w:fill="auto"/>
        </w:rPr>
        <w:t>攻击的能力。</w:t>
      </w:r>
    </w:p>
    <w:p w14:paraId="1F3414C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应有定期的安全审计和漏洞扫描。</w:t>
      </w:r>
    </w:p>
    <w:p w14:paraId="09A019D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FFBC62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5.3</w:t>
      </w:r>
      <w:r>
        <w:rPr>
          <w:rFonts w:ascii="宋体" w:hAnsi="宋体" w:eastAsia="宋体" w:cs="宋体"/>
          <w:color w:val="auto"/>
          <w:spacing w:val="0"/>
          <w:position w:val="0"/>
          <w:sz w:val="21"/>
          <w:shd w:val="clear" w:color="auto" w:fill="auto"/>
        </w:rPr>
        <w:t>合规性</w:t>
      </w:r>
    </w:p>
    <w:p w14:paraId="77F06A6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平台应遵守相关的法律法规和行业标准。</w:t>
      </w:r>
    </w:p>
    <w:p w14:paraId="45D71A1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应有透明的隐私政策和用户协议。</w:t>
      </w:r>
    </w:p>
    <w:p w14:paraId="093E9B5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FD0503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8C0C11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6.7</w:t>
      </w:r>
      <w:r>
        <w:rPr>
          <w:rFonts w:ascii="宋体" w:hAnsi="宋体" w:eastAsia="宋体" w:cs="宋体"/>
          <w:color w:val="auto"/>
          <w:spacing w:val="0"/>
          <w:position w:val="0"/>
          <w:sz w:val="21"/>
          <w:shd w:val="clear" w:color="auto" w:fill="auto"/>
        </w:rPr>
        <w:t>安全性考虑</w:t>
      </w:r>
    </w:p>
    <w:p w14:paraId="1FBB0A9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认证授权</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确保只有订单的所有者可以查看、修改或取消订单。</w:t>
      </w:r>
    </w:p>
    <w:p w14:paraId="5F36F3A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数据加密</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订单数据在传输和存储过程中应进行加密，以防止数据泄露。</w:t>
      </w:r>
    </w:p>
    <w:p w14:paraId="461E895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CB5CDE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6.8</w:t>
      </w:r>
      <w:r>
        <w:rPr>
          <w:rFonts w:ascii="宋体" w:hAnsi="宋体" w:eastAsia="宋体" w:cs="宋体"/>
          <w:color w:val="auto"/>
          <w:spacing w:val="0"/>
          <w:position w:val="0"/>
          <w:sz w:val="21"/>
          <w:shd w:val="clear" w:color="auto" w:fill="auto"/>
        </w:rPr>
        <w:t>用户界面设计</w:t>
      </w:r>
    </w:p>
    <w:p w14:paraId="345ED8C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直观展示</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订单簿应直观展示所有挂单，包括价格、数量、订单状态等信息。</w:t>
      </w:r>
    </w:p>
    <w:p w14:paraId="4D8D25B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操作便捷</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用户应能轻松地进行挂单、取消和修改操作。</w:t>
      </w:r>
    </w:p>
    <w:p w14:paraId="64D2A82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BCB50D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F57663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钱包功能开发文档</w:t>
      </w:r>
    </w:p>
    <w:p w14:paraId="03A5E32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568CCE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引言</w:t>
      </w:r>
    </w:p>
    <w:p w14:paraId="0416CE2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0206F0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1.1</w:t>
      </w:r>
      <w:r>
        <w:rPr>
          <w:rFonts w:ascii="宋体" w:hAnsi="宋体" w:eastAsia="宋体" w:cs="宋体"/>
          <w:color w:val="auto"/>
          <w:spacing w:val="0"/>
          <w:position w:val="0"/>
          <w:sz w:val="21"/>
          <w:shd w:val="clear" w:color="auto" w:fill="auto"/>
        </w:rPr>
        <w:t>目的</w:t>
      </w:r>
    </w:p>
    <w:p w14:paraId="73A621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本文档旨在为去中心化交易所的钱包功能开发提供详细指南。钱包功能是用户管理其加密资产的核心工具，需要确保安全性、易用性和功能性。</w:t>
      </w:r>
    </w:p>
    <w:p w14:paraId="4421717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275D24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1.2</w:t>
      </w:r>
      <w:r>
        <w:rPr>
          <w:rFonts w:ascii="宋体" w:hAnsi="宋体" w:eastAsia="宋体" w:cs="宋体"/>
          <w:color w:val="auto"/>
          <w:spacing w:val="0"/>
          <w:position w:val="0"/>
          <w:sz w:val="21"/>
          <w:shd w:val="clear" w:color="auto" w:fill="auto"/>
        </w:rPr>
        <w:t>范围</w:t>
      </w:r>
    </w:p>
    <w:p w14:paraId="089CF33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本文档包括钱包功能的以下主要部分:</w:t>
      </w:r>
    </w:p>
    <w:p w14:paraId="609974D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钱包创建与管理</w:t>
      </w:r>
    </w:p>
    <w:p w14:paraId="3ECF276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导入与导出钱包</w:t>
      </w:r>
    </w:p>
    <w:p w14:paraId="33F294D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转账功能</w:t>
      </w:r>
    </w:p>
    <w:p w14:paraId="381A145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资产管理</w:t>
      </w:r>
    </w:p>
    <w:p w14:paraId="2E5DDCA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安全性设计</w:t>
      </w:r>
    </w:p>
    <w:p w14:paraId="45DFEEB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3DBDBF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钱包创建与管理</w:t>
      </w:r>
    </w:p>
    <w:p w14:paraId="6C5CBA1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F0D213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2.1</w:t>
      </w:r>
      <w:r>
        <w:rPr>
          <w:rFonts w:ascii="宋体" w:hAnsi="宋体" w:eastAsia="宋体" w:cs="宋体"/>
          <w:color w:val="auto"/>
          <w:spacing w:val="0"/>
          <w:position w:val="0"/>
          <w:sz w:val="21"/>
          <w:shd w:val="clear" w:color="auto" w:fill="auto"/>
        </w:rPr>
        <w:t>创建钱包</w:t>
      </w:r>
    </w:p>
    <w:p w14:paraId="53FABC2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用户可以创建新的钱包，生成钱包名称、密码和备份助记词。</w:t>
      </w:r>
    </w:p>
    <w:p w14:paraId="7155BF9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提供简洁明了的界面，引导用户完成创建过程。</w:t>
      </w:r>
    </w:p>
    <w:p w14:paraId="71CD8A4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助记词需安全生成和备份，密码需加密存储。</w:t>
      </w:r>
    </w:p>
    <w:p w14:paraId="22075D7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6A6321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2.2</w:t>
      </w:r>
      <w:r>
        <w:rPr>
          <w:rFonts w:ascii="宋体" w:hAnsi="宋体" w:eastAsia="宋体" w:cs="宋体"/>
          <w:color w:val="auto"/>
          <w:spacing w:val="0"/>
          <w:position w:val="0"/>
          <w:sz w:val="21"/>
          <w:shd w:val="clear" w:color="auto" w:fill="auto"/>
        </w:rPr>
        <w:t>钱包管理</w:t>
      </w:r>
    </w:p>
    <w:p w14:paraId="453A71C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用户可以管理其钱包，包括查看钱包地址、余额和交易历史。</w:t>
      </w:r>
    </w:p>
    <w:p w14:paraId="23EA658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提供清晰的钱包信息展示和操作选项。</w:t>
      </w:r>
    </w:p>
    <w:p w14:paraId="337BA9B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确保所有敏感信息都经过加密处理。</w:t>
      </w:r>
    </w:p>
    <w:p w14:paraId="1A0EBDF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D300BB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导入与导出钱包</w:t>
      </w:r>
    </w:p>
    <w:p w14:paraId="5701133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6413A4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3.1</w:t>
      </w:r>
      <w:r>
        <w:rPr>
          <w:rFonts w:ascii="宋体" w:hAnsi="宋体" w:eastAsia="宋体" w:cs="宋体"/>
          <w:color w:val="auto"/>
          <w:spacing w:val="0"/>
          <w:position w:val="0"/>
          <w:sz w:val="21"/>
          <w:shd w:val="clear" w:color="auto" w:fill="auto"/>
        </w:rPr>
        <w:t>导入钱包</w:t>
      </w:r>
    </w:p>
    <w:p w14:paraId="0A6C5D5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用户可以通过助记词或私钥导入已有钱包。</w:t>
      </w:r>
    </w:p>
    <w:p w14:paraId="0D6987C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提供导入选项，引导用户输入助记词或私钥。</w:t>
      </w:r>
    </w:p>
    <w:p w14:paraId="3EBE156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确保导入过程中的敏感信息安全。</w:t>
      </w:r>
    </w:p>
    <w:p w14:paraId="3142820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96121A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3.2</w:t>
      </w:r>
      <w:r>
        <w:rPr>
          <w:rFonts w:ascii="宋体" w:hAnsi="宋体" w:eastAsia="宋体" w:cs="宋体"/>
          <w:color w:val="auto"/>
          <w:spacing w:val="0"/>
          <w:position w:val="0"/>
          <w:sz w:val="21"/>
          <w:shd w:val="clear" w:color="auto" w:fill="auto"/>
        </w:rPr>
        <w:t>导出钱包</w:t>
      </w:r>
    </w:p>
    <w:p w14:paraId="0858337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用户可以导出其钱包的助记词或私钥，以便在其他设备上使用。</w:t>
      </w:r>
    </w:p>
    <w:p w14:paraId="2A7136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提供导出选项，允许用户选择导出格式。</w:t>
      </w:r>
    </w:p>
    <w:p w14:paraId="4741559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导出过程中需提醒用户注意信息安全。</w:t>
      </w:r>
    </w:p>
    <w:p w14:paraId="25B6DBE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E531E5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转账功能</w:t>
      </w:r>
    </w:p>
    <w:p w14:paraId="05FF4DE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3D76E4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4.1</w:t>
      </w:r>
      <w:r>
        <w:rPr>
          <w:rFonts w:ascii="宋体" w:hAnsi="宋体" w:eastAsia="宋体" w:cs="宋体"/>
          <w:color w:val="auto"/>
          <w:spacing w:val="0"/>
          <w:position w:val="0"/>
          <w:sz w:val="21"/>
          <w:shd w:val="clear" w:color="auto" w:fill="auto"/>
        </w:rPr>
        <w:t>发起转账</w:t>
      </w:r>
    </w:p>
    <w:p w14:paraId="4D3A3E1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用户可以向其他地址转账，输入转账金额、收款地址和矿工费。</w:t>
      </w:r>
    </w:p>
    <w:p w14:paraId="541D209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提供直观的转账表单，包括地址验证和交易确认。</w:t>
      </w:r>
    </w:p>
    <w:p w14:paraId="71B61E6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交易前需进行多重验证，确保交易安全。</w:t>
      </w:r>
    </w:p>
    <w:p w14:paraId="3F6A0D1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B05BD3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4.2</w:t>
      </w:r>
      <w:r>
        <w:rPr>
          <w:rFonts w:ascii="宋体" w:hAnsi="宋体" w:eastAsia="宋体" w:cs="宋体"/>
          <w:color w:val="auto"/>
          <w:spacing w:val="0"/>
          <w:position w:val="0"/>
          <w:sz w:val="21"/>
          <w:shd w:val="clear" w:color="auto" w:fill="auto"/>
        </w:rPr>
        <w:t>交易历史</w:t>
      </w:r>
    </w:p>
    <w:p w14:paraId="18D6DE1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用户可以查看其钱包的交易历史记录。</w:t>
      </w:r>
    </w:p>
    <w:p w14:paraId="0E40497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以列表形式展示交易历史，包括交易详情和状态。</w:t>
      </w:r>
    </w:p>
    <w:p w14:paraId="5CD47C3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交易历史信息需加密存储，确保用户隐私。</w:t>
      </w:r>
    </w:p>
    <w:p w14:paraId="162B1E3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DBB55D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资产管理</w:t>
      </w:r>
    </w:p>
    <w:p w14:paraId="13025C8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7CD3FC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5.1</w:t>
      </w:r>
      <w:r>
        <w:rPr>
          <w:rFonts w:ascii="宋体" w:hAnsi="宋体" w:eastAsia="宋体" w:cs="宋体"/>
          <w:color w:val="auto"/>
          <w:spacing w:val="0"/>
          <w:position w:val="0"/>
          <w:sz w:val="21"/>
          <w:shd w:val="clear" w:color="auto" w:fill="auto"/>
        </w:rPr>
        <w:t>资产概览</w:t>
      </w:r>
    </w:p>
    <w:p w14:paraId="7330C93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显示用户钱包中的所有资产及其价值。</w:t>
      </w:r>
    </w:p>
    <w:p w14:paraId="102C14F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提供资产列表，包括资产名称、数量和价值。</w:t>
      </w:r>
    </w:p>
    <w:p w14:paraId="21E475D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资产信息需实时更新，确保数据准确性。</w:t>
      </w:r>
    </w:p>
    <w:p w14:paraId="3588CF0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0B35CC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5.2</w:t>
      </w:r>
      <w:r>
        <w:rPr>
          <w:rFonts w:ascii="宋体" w:hAnsi="宋体" w:eastAsia="宋体" w:cs="宋体"/>
          <w:color w:val="auto"/>
          <w:spacing w:val="0"/>
          <w:position w:val="0"/>
          <w:sz w:val="21"/>
          <w:shd w:val="clear" w:color="auto" w:fill="auto"/>
        </w:rPr>
        <w:t>资产操作</w:t>
      </w:r>
    </w:p>
    <w:p w14:paraId="7E84A63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用户可以进行资产的划转、冻结和解冻等操作。</w:t>
      </w:r>
    </w:p>
    <w:p w14:paraId="2D4EA3F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提供操作选项，引导用户完成相应操作。</w:t>
      </w:r>
    </w:p>
    <w:p w14:paraId="5B9DFE3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所有资产操作需进行身份验证和权限检查。</w:t>
      </w:r>
    </w:p>
    <w:p w14:paraId="2D1AFFD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A893F9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安全性设计</w:t>
      </w:r>
    </w:p>
    <w:p w14:paraId="1647E6C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C1144A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6.1</w:t>
      </w:r>
      <w:r>
        <w:rPr>
          <w:rFonts w:ascii="宋体" w:hAnsi="宋体" w:eastAsia="宋体" w:cs="宋体"/>
          <w:color w:val="auto"/>
          <w:spacing w:val="0"/>
          <w:position w:val="0"/>
          <w:sz w:val="21"/>
          <w:shd w:val="clear" w:color="auto" w:fill="auto"/>
        </w:rPr>
        <w:t>加密技术</w:t>
      </w:r>
    </w:p>
    <w:p w14:paraId="4814F57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使用行业标准的加密技术保护用户数据。</w:t>
      </w:r>
    </w:p>
    <w:p w14:paraId="48E2B82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采用</w:t>
      </w:r>
      <w:r>
        <w:rPr>
          <w:rFonts w:ascii="Calibri" w:hAnsi="Calibri" w:eastAsia="Calibri" w:cs="Calibri"/>
          <w:color w:val="auto"/>
          <w:spacing w:val="0"/>
          <w:position w:val="0"/>
          <w:sz w:val="21"/>
          <w:shd w:val="clear" w:color="auto" w:fill="auto"/>
        </w:rPr>
        <w:t>AES</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RSA</w:t>
      </w:r>
      <w:r>
        <w:rPr>
          <w:rFonts w:ascii="宋体" w:hAnsi="宋体" w:eastAsia="宋体" w:cs="宋体"/>
          <w:color w:val="auto"/>
          <w:spacing w:val="0"/>
          <w:position w:val="0"/>
          <w:sz w:val="21"/>
          <w:shd w:val="clear" w:color="auto" w:fill="auto"/>
        </w:rPr>
        <w:t>等加密算法对敏感数据进行加密。</w:t>
      </w:r>
    </w:p>
    <w:p w14:paraId="7BD3105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B276F3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6.2</w:t>
      </w:r>
      <w:r>
        <w:rPr>
          <w:rFonts w:ascii="宋体" w:hAnsi="宋体" w:eastAsia="宋体" w:cs="宋体"/>
          <w:color w:val="auto"/>
          <w:spacing w:val="0"/>
          <w:position w:val="0"/>
          <w:sz w:val="21"/>
          <w:shd w:val="clear" w:color="auto" w:fill="auto"/>
        </w:rPr>
        <w:t>认证机制</w:t>
      </w:r>
    </w:p>
    <w:p w14:paraId="7844061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实施多因素认证，确保用户身份安全。</w:t>
      </w:r>
    </w:p>
    <w:p w14:paraId="224CEF7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结合密码、短信验证码、生物识别等多种认证方式。</w:t>
      </w:r>
    </w:p>
    <w:p w14:paraId="5F99D3A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9B4754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6.3</w:t>
      </w:r>
      <w:r>
        <w:rPr>
          <w:rFonts w:ascii="宋体" w:hAnsi="宋体" w:eastAsia="宋体" w:cs="宋体"/>
          <w:color w:val="auto"/>
          <w:spacing w:val="0"/>
          <w:position w:val="0"/>
          <w:sz w:val="21"/>
          <w:shd w:val="clear" w:color="auto" w:fill="auto"/>
        </w:rPr>
        <w:t>交易安全</w:t>
      </w:r>
    </w:p>
    <w:p w14:paraId="0CE1486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确保交易过程的安全，防止欺诈和盗窃。</w:t>
      </w:r>
    </w:p>
    <w:p w14:paraId="3BC50EB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交易过程中进行多重验证，如交易密码、电子邮件确认等。</w:t>
      </w:r>
    </w:p>
    <w:p w14:paraId="68E0AE2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5E15F0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6.4</w:t>
      </w:r>
      <w:r>
        <w:rPr>
          <w:rFonts w:ascii="宋体" w:hAnsi="宋体" w:eastAsia="宋体" w:cs="宋体"/>
          <w:color w:val="auto"/>
          <w:spacing w:val="0"/>
          <w:position w:val="0"/>
          <w:sz w:val="21"/>
          <w:shd w:val="clear" w:color="auto" w:fill="auto"/>
        </w:rPr>
        <w:t>安全审计</w:t>
      </w:r>
    </w:p>
    <w:p w14:paraId="724349C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定期进行安全审计，发现并修复潜在的安全漏洞。</w:t>
      </w:r>
    </w:p>
    <w:p w14:paraId="5137BD6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采用自动化工具和手动审计相结合的方式。</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4"/>
      <w:numFmt w:val="decimal"/>
      <w:lvlText w:val="%1."/>
      <w:lvlJc w:val="left"/>
      <w:pPr>
        <w:tabs>
          <w:tab w:val="left" w:pos="312"/>
        </w:tabs>
      </w:pPr>
    </w:lvl>
  </w:abstractNum>
  <w:abstractNum w:abstractNumId="1">
    <w:nsid w:val="00000001"/>
    <w:multiLevelType w:val="singleLevel"/>
    <w:tmpl w:val="00000001"/>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mU4MTNmY2MxMDY2YjI3YmI4MzdmMTcxMWNmOTJjNzEifQ=="/>
  </w:docVars>
  <w:rsids>
    <w:rsidRoot w:val="00000000"/>
    <w:rsid w:val="207C42C1"/>
    <w:rsid w:val="25A6027E"/>
    <w:rsid w:val="6F2D5D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sz w:val="21"/>
      <w:szCs w:val="22"/>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Words>13922</Words>
  <Characters>18612</Characters>
  <Paragraphs>904</Paragraphs>
  <TotalTime>2</TotalTime>
  <ScaleCrop>false</ScaleCrop>
  <LinksUpToDate>false</LinksUpToDate>
  <CharactersWithSpaces>19810</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2024-10-08T03:04:00Z</dcterms:created>
  <dc:creator>Administrator</dc:creator>
  <cp:lastModifiedBy>别当欧尼酱了</cp:lastModifiedBy>
  <dcterms:modified xsi:type="dcterms:W3CDTF">2024-10-16T14:35:35Z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4885b90243604523978a03f0f8b91de2_23</vt:lpwstr>
  </property>
</Properties>
</file>