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adjustRightInd/>
        <w:snapToGrid/>
        <w:spacing w:lineRule="auto" w:line="120"/>
        <w:ind w:firstLine="0" w:firstLineChars="0"/>
        <w:jc w:val="both"/>
        <w:rPr/>
      </w:pPr>
      <w:bookmarkStart w:id="0" w:name="_GoBack"/>
      <w:bookmarkEnd w:id="0"/>
      <w:r>
        <w:t>Uto公链社区治理协议</w:t>
      </w:r>
    </w:p>
    <w:p>
      <w:pPr>
        <w:pStyle w:val="style0"/>
        <w:adjustRightInd/>
        <w:snapToGrid/>
        <w:spacing w:lineRule="auto" w:line="120"/>
        <w:ind w:firstLine="0" w:firstLineChars="0"/>
        <w:jc w:val="both"/>
        <w:rPr/>
      </w:pPr>
      <w:r>
        <w:t> </w:t>
      </w:r>
    </w:p>
    <w:p>
      <w:pPr>
        <w:pStyle w:val="style0"/>
        <w:adjustRightInd/>
        <w:snapToGrid/>
        <w:spacing w:lineRule="auto" w:line="120"/>
        <w:ind w:firstLine="0" w:firstLineChars="0"/>
        <w:jc w:val="both"/>
        <w:rPr/>
      </w:pPr>
      <w:r>
        <w:t>1. 协议适用范围</w:t>
      </w:r>
    </w:p>
    <w:p>
      <w:pPr>
        <w:pStyle w:val="style0"/>
        <w:adjustRightInd/>
        <w:snapToGrid/>
        <w:spacing w:lineRule="auto" w:line="120"/>
        <w:ind w:firstLine="0" w:firstLineChars="0"/>
        <w:jc w:val="both"/>
        <w:rPr/>
      </w:pPr>
      <w:r>
        <w:t>本协议旨在明确Uto公链社区中成员的权利和义务，确保社区的良性发展。此协议适用于所有加入Uto公链社区的成员，包括但不限于用户、开发者、投资者、贡献者等。</w:t>
      </w:r>
    </w:p>
    <w:p>
      <w:pPr>
        <w:pStyle w:val="style0"/>
        <w:adjustRightInd/>
        <w:snapToGrid/>
        <w:spacing w:lineRule="auto" w:line="120"/>
        <w:ind w:firstLine="0" w:firstLineChars="0"/>
        <w:jc w:val="both"/>
        <w:rPr/>
      </w:pPr>
      <w:r>
        <w:t>2. 社区治理原则</w:t>
      </w:r>
    </w:p>
    <w:p>
      <w:pPr>
        <w:pStyle w:val="style0"/>
        <w:adjustRightInd/>
        <w:snapToGrid/>
        <w:spacing w:lineRule="auto" w:line="120"/>
        <w:ind w:firstLine="0" w:firstLineChars="0"/>
        <w:jc w:val="both"/>
        <w:rPr/>
      </w:pPr>
      <w:r>
        <w:t>去中心化治理：Uto公链社区将采取基于DAO（去中心化自治组织）的治理模式。社区的决策将由其成员共同参与和决定，而不是由单一的中心化实体控制。</w:t>
      </w:r>
    </w:p>
    <w:p>
      <w:pPr>
        <w:pStyle w:val="style0"/>
        <w:adjustRightInd/>
        <w:snapToGrid/>
        <w:spacing w:lineRule="auto" w:line="120"/>
        <w:ind w:firstLine="0" w:firstLineChars="0"/>
        <w:jc w:val="both"/>
        <w:rPr/>
      </w:pPr>
      <w:r>
        <w:t>平等参与：所有成员都有平等的权利参与社区的治理和决策过程。无论是资深成员还是新加入的成员，都有同等的表决权，能够为其关注的议题发声。</w:t>
      </w:r>
    </w:p>
    <w:p>
      <w:pPr>
        <w:pStyle w:val="style0"/>
        <w:adjustRightInd/>
        <w:snapToGrid/>
        <w:spacing w:lineRule="auto" w:line="120"/>
        <w:ind w:firstLine="0" w:firstLineChars="0"/>
        <w:jc w:val="both"/>
        <w:rPr/>
      </w:pPr>
      <w:r>
        <w:t>3. 社区治理机构</w:t>
      </w:r>
    </w:p>
    <w:p>
      <w:pPr>
        <w:pStyle w:val="style0"/>
        <w:adjustRightInd/>
        <w:snapToGrid/>
        <w:spacing w:lineRule="auto" w:line="120"/>
        <w:ind w:firstLine="0" w:firstLineChars="0"/>
        <w:jc w:val="both"/>
        <w:rPr/>
      </w:pPr>
      <w:r>
        <w:t>社区治理委员会：设立专门的社区治理委员会，负责协调和处理社区治理的相关事务。委员会成员由社区成员投票选举产生，代表社区整体利益，推动社区治理的决策和活动实施。</w:t>
      </w:r>
    </w:p>
    <w:p>
      <w:pPr>
        <w:pStyle w:val="style0"/>
        <w:adjustRightInd/>
        <w:snapToGrid/>
        <w:spacing w:lineRule="auto" w:line="120"/>
        <w:ind w:firstLine="0" w:firstLineChars="0"/>
        <w:jc w:val="both"/>
        <w:rPr/>
      </w:pPr>
      <w:r>
        <w:t>投票与监督：社区成员有权通过投票选举社区治理委员会成员，并有权对委员会的工作进行监督和评价。</w:t>
      </w:r>
    </w:p>
    <w:p>
      <w:pPr>
        <w:pStyle w:val="style0"/>
        <w:adjustRightInd/>
        <w:snapToGrid/>
        <w:spacing w:lineRule="auto" w:line="120"/>
        <w:ind w:firstLine="0" w:firstLineChars="0"/>
        <w:jc w:val="both"/>
        <w:rPr/>
      </w:pPr>
      <w:r>
        <w:t>4. 用户权限</w:t>
      </w:r>
    </w:p>
    <w:p>
      <w:pPr>
        <w:pStyle w:val="style0"/>
        <w:adjustRightInd/>
        <w:snapToGrid/>
        <w:spacing w:lineRule="auto" w:line="120"/>
        <w:ind w:firstLine="0" w:firstLineChars="0"/>
        <w:jc w:val="both"/>
        <w:rPr/>
      </w:pPr>
      <w:r>
        <w:t>设计权：用户可以根据自己的需求和偏好对产品或服务进行个性化设计。</w:t>
      </w:r>
    </w:p>
    <w:p>
      <w:pPr>
        <w:pStyle w:val="style0"/>
        <w:adjustRightInd/>
        <w:snapToGrid/>
        <w:spacing w:lineRule="auto" w:line="120"/>
        <w:ind w:firstLine="0" w:firstLineChars="0"/>
        <w:jc w:val="both"/>
        <w:rPr/>
      </w:pPr>
      <w:r>
        <w:t>开发权：用户可以在自己的能力范围内对产品或服务进行开发、改进和优化。</w:t>
      </w:r>
    </w:p>
    <w:p>
      <w:pPr>
        <w:pStyle w:val="style0"/>
        <w:adjustRightInd/>
        <w:snapToGrid/>
        <w:spacing w:lineRule="auto" w:line="120"/>
        <w:ind w:firstLine="0" w:firstLineChars="0"/>
        <w:jc w:val="both"/>
        <w:rPr/>
      </w:pPr>
      <w:r>
        <w:t>维护权：用户有权对产品或服务进行必要的维护和保养，以确保其正常运行。</w:t>
      </w:r>
    </w:p>
    <w:p>
      <w:pPr>
        <w:pStyle w:val="style0"/>
        <w:adjustRightInd/>
        <w:snapToGrid/>
        <w:spacing w:lineRule="auto" w:line="120"/>
        <w:ind w:firstLine="0" w:firstLineChars="0"/>
        <w:jc w:val="both"/>
        <w:rPr/>
      </w:pPr>
      <w:r>
        <w:t>投票权：用户可以参与某些决策的投票，例如社区管理、产品改进等。</w:t>
      </w:r>
    </w:p>
    <w:p>
      <w:pPr>
        <w:pStyle w:val="style0"/>
        <w:adjustRightInd/>
        <w:snapToGrid/>
        <w:spacing w:lineRule="auto" w:line="120"/>
        <w:ind w:firstLine="0" w:firstLineChars="0"/>
        <w:jc w:val="both"/>
        <w:rPr/>
      </w:pPr>
      <w:r>
        <w:t>所有权：用户拥有自己购买的产品或服务的所有权，可以自由处置。</w:t>
      </w:r>
    </w:p>
    <w:p>
      <w:pPr>
        <w:pStyle w:val="style0"/>
        <w:adjustRightInd/>
        <w:snapToGrid/>
        <w:spacing w:lineRule="auto" w:line="120"/>
        <w:ind w:firstLine="0" w:firstLineChars="0"/>
        <w:jc w:val="both"/>
        <w:rPr/>
      </w:pPr>
      <w:r>
        <w:t>监督权：用户有权监督产品或服务的运营情况，发现问题可以及时反馈。</w:t>
      </w:r>
    </w:p>
    <w:p>
      <w:pPr>
        <w:pStyle w:val="style0"/>
        <w:adjustRightInd/>
        <w:snapToGrid/>
        <w:spacing w:lineRule="auto" w:line="120"/>
        <w:ind w:firstLine="0" w:firstLineChars="0"/>
        <w:jc w:val="both"/>
        <w:rPr/>
      </w:pPr>
      <w:r>
        <w:t>举报权：用户发现产品或服务存在违规行为或其他问题，有权向相关部门进行举报。</w:t>
      </w:r>
    </w:p>
    <w:p>
      <w:pPr>
        <w:pStyle w:val="style0"/>
        <w:adjustRightInd/>
        <w:snapToGrid/>
        <w:spacing w:lineRule="auto" w:line="120"/>
        <w:ind w:firstLine="0" w:firstLineChars="0"/>
        <w:jc w:val="both"/>
        <w:rPr/>
      </w:pPr>
      <w:r>
        <w:t>5. Uto公链投票权利协议</w:t>
      </w:r>
    </w:p>
    <w:p>
      <w:pPr>
        <w:pStyle w:val="style0"/>
        <w:adjustRightInd/>
        <w:snapToGrid/>
        <w:spacing w:lineRule="auto" w:line="120"/>
        <w:ind w:firstLine="0" w:firstLineChars="0"/>
        <w:jc w:val="both"/>
        <w:rPr/>
      </w:pPr>
      <w:r>
        <w:t>投票权利原则：Uto公链社区坚决贯彻“一人一票”的原则，确保每个社区成员都拥有平等的参与权和表决权。</w:t>
      </w:r>
    </w:p>
    <w:p>
      <w:pPr>
        <w:pStyle w:val="style0"/>
        <w:adjustRightInd/>
        <w:snapToGrid/>
        <w:spacing w:lineRule="auto" w:line="120"/>
        <w:ind w:firstLine="0" w:firstLineChars="0"/>
        <w:jc w:val="both"/>
        <w:rPr/>
      </w:pPr>
      <w:r>
        <w:t>投票规则：</w:t>
      </w:r>
    </w:p>
    <w:p>
      <w:pPr>
        <w:pStyle w:val="style0"/>
        <w:adjustRightInd/>
        <w:snapToGrid/>
        <w:spacing w:lineRule="auto" w:line="120"/>
        <w:ind w:firstLine="0" w:firstLineChars="0"/>
        <w:jc w:val="both"/>
        <w:rPr/>
      </w:pPr>
      <w:r>
        <w:t>投票前的准备：社区成员需要充分了解投票的内容和可能产生的影响。</w:t>
      </w:r>
    </w:p>
    <w:p>
      <w:pPr>
        <w:pStyle w:val="style0"/>
        <w:adjustRightInd/>
        <w:snapToGrid/>
        <w:spacing w:lineRule="auto" w:line="120"/>
        <w:ind w:firstLine="0" w:firstLineChars="0"/>
        <w:jc w:val="both"/>
        <w:rPr/>
      </w:pPr>
      <w:r>
        <w:t>诚实投票：社区成员应根据自己的判断和理解进行表决，禁止恶意操纵或欺诈行为。</w:t>
      </w:r>
    </w:p>
    <w:p>
      <w:pPr>
        <w:pStyle w:val="style0"/>
        <w:adjustRightInd/>
        <w:snapToGrid/>
        <w:spacing w:lineRule="auto" w:line="120"/>
        <w:ind w:firstLine="0" w:firstLineChars="0"/>
        <w:jc w:val="both"/>
        <w:rPr/>
      </w:pPr>
      <w:r>
        <w:t>6. Uto公链功能冻结协议</w:t>
      </w:r>
    </w:p>
    <w:p>
      <w:pPr>
        <w:pStyle w:val="style0"/>
        <w:adjustRightInd/>
        <w:snapToGrid/>
        <w:spacing w:lineRule="auto" w:line="120"/>
        <w:ind w:firstLine="0" w:firstLineChars="0"/>
        <w:jc w:val="both"/>
        <w:rPr/>
      </w:pPr>
      <w:r>
        <w:t>功能冻结原则：为了维护公链社区的正常运行和用户权益，Uto公链将对涉嫌违规的账户采取功能冻结等措施。</w:t>
      </w:r>
    </w:p>
    <w:p>
      <w:pPr>
        <w:pStyle w:val="style0"/>
        <w:adjustRightInd/>
        <w:snapToGrid/>
        <w:spacing w:lineRule="auto" w:line="120"/>
        <w:ind w:firstLine="0" w:firstLineChars="0"/>
        <w:jc w:val="both"/>
        <w:rPr/>
      </w:pPr>
      <w:r>
        <w:t>执行流程：Uto公链平台会进行严格的调查和判断，确保措施的合理性和必要性。建立完善的申诉与复核机制，保障冻结的公正性和透明度。</w:t>
      </w:r>
    </w:p>
    <w:p>
      <w:pPr>
        <w:pStyle w:val="style0"/>
        <w:adjustRightInd/>
        <w:snapToGrid/>
        <w:spacing w:lineRule="auto" w:line="120"/>
        <w:ind w:firstLine="0" w:firstLineChars="0"/>
        <w:jc w:val="both"/>
        <w:rPr/>
      </w:pPr>
      <w:r>
        <w:t>7. Uto公链风险提示协议</w:t>
      </w:r>
    </w:p>
    <w:p>
      <w:pPr>
        <w:pStyle w:val="style0"/>
        <w:adjustRightInd/>
        <w:snapToGrid/>
        <w:spacing w:lineRule="auto" w:line="120"/>
        <w:ind w:firstLine="0" w:firstLineChars="0"/>
        <w:jc w:val="both"/>
        <w:rPr/>
      </w:pPr>
      <w:r>
        <w:t>风险提示：Uto公链平台提醒用户，数字货币交易市场存在较大的价格波动和市场风险。用户应充分了解市场情况，理性投资，并自行承担相应的风险。</w:t>
      </w:r>
    </w:p>
    <w:p>
      <w:pPr>
        <w:pStyle w:val="style0"/>
        <w:adjustRightInd/>
        <w:snapToGrid/>
        <w:spacing w:lineRule="auto" w:line="120"/>
        <w:ind w:firstLine="0" w:firstLineChars="0"/>
        <w:jc w:val="both"/>
        <w:rPr/>
      </w:pPr>
      <w:r>
        <w:t>8. Uto公链合规性声明</w:t>
      </w:r>
    </w:p>
    <w:p>
      <w:pPr>
        <w:pStyle w:val="style0"/>
        <w:adjustRightInd/>
        <w:snapToGrid/>
        <w:spacing w:lineRule="auto" w:line="120"/>
        <w:ind w:firstLine="0" w:firstLineChars="0"/>
        <w:jc w:val="both"/>
        <w:rPr/>
      </w:pPr>
      <w:r>
        <w:t>合规经营：Uto公链将严格遵守国家法律法规和政策，不得从事任何违反法律法规的行为。积极配合监管部门的监管工作，不断完善自身的合规体系。</w:t>
      </w:r>
    </w:p>
    <w:p>
      <w:pPr>
        <w:pStyle w:val="style0"/>
        <w:adjustRightInd/>
        <w:snapToGrid/>
        <w:spacing w:lineRule="auto" w:line="120"/>
        <w:ind w:firstLine="0" w:firstLineChars="0"/>
        <w:jc w:val="both"/>
        <w:rPr/>
      </w:pPr>
      <w:r>
        <w:t>9. 大陆用户功能限制</w:t>
      </w:r>
    </w:p>
    <w:p>
      <w:pPr>
        <w:pStyle w:val="style0"/>
        <w:adjustRightInd/>
        <w:snapToGrid/>
        <w:spacing w:lineRule="auto" w:line="120"/>
        <w:ind w:firstLine="0" w:firstLineChars="0"/>
        <w:jc w:val="both"/>
        <w:rPr/>
      </w:pPr>
      <w:r>
        <w:t>交易功能限制：大陆用户暂时无法使用Uto DePIN网络的交易功能。</w:t>
      </w:r>
    </w:p>
    <w:p>
      <w:pPr>
        <w:pStyle w:val="style0"/>
        <w:adjustRightInd/>
        <w:snapToGrid/>
        <w:spacing w:lineRule="auto" w:line="120"/>
        <w:ind w:firstLine="0" w:firstLineChars="0"/>
        <w:jc w:val="both"/>
        <w:rPr/>
      </w:pPr>
      <w:r>
        <w:t>转账功能限制：大陆用户的代币转账功能已被暂停。</w:t>
      </w:r>
    </w:p>
    <w:p>
      <w:pPr>
        <w:pStyle w:val="style0"/>
        <w:adjustRightInd/>
        <w:snapToGrid/>
        <w:spacing w:lineRule="auto" w:line="120"/>
        <w:ind w:firstLine="0" w:firstLineChars="0"/>
        <w:jc w:val="both"/>
        <w:rPr/>
      </w:pPr>
      <w:r>
        <w:t>投资功能限制：大陆用户无法通过Uto DePIN网络进行任何形式的投资活动。</w:t>
      </w:r>
    </w:p>
    <w:p>
      <w:pPr>
        <w:pStyle w:val="style0"/>
        <w:adjustRightInd/>
        <w:snapToGrid/>
        <w:spacing w:lineRule="auto" w:line="120"/>
        <w:ind w:firstLine="0" w:firstLineChars="0"/>
        <w:jc w:val="both"/>
        <w:rPr/>
      </w:pPr>
      <w:r>
        <w:t>购买功能限制：大陆用户不能使用法定货币或数字货币在Uto DePIN网络上购买任何产品和服务。</w:t>
      </w:r>
    </w:p>
    <w:p>
      <w:pPr>
        <w:pStyle w:val="style0"/>
        <w:adjustRightInd/>
        <w:snapToGrid/>
        <w:spacing w:lineRule="auto" w:line="120"/>
        <w:ind w:firstLine="0" w:firstLineChars="0"/>
        <w:jc w:val="both"/>
        <w:rPr/>
      </w:pPr>
      <w:r>
        <w:t>10. 功能恢复条件</w:t>
      </w:r>
    </w:p>
    <w:p>
      <w:pPr>
        <w:pStyle w:val="style0"/>
        <w:adjustRightInd/>
        <w:snapToGrid/>
        <w:spacing w:lineRule="auto" w:line="120"/>
        <w:ind w:firstLine="0" w:firstLineChars="0"/>
        <w:jc w:val="both"/>
        <w:rPr/>
      </w:pPr>
      <w:r>
        <w:t>用户数量条件：当UtoDePIN网络的注册用户数量达到1500万时，智能合约将自动考虑逐步恢复受限功能。</w:t>
      </w:r>
    </w:p>
    <w:p>
      <w:pPr>
        <w:pStyle w:val="style0"/>
        <w:adjustRightInd/>
        <w:snapToGrid/>
        <w:spacing w:lineRule="auto" w:line="120"/>
        <w:ind w:firstLine="0" w:firstLineChars="0"/>
        <w:jc w:val="both"/>
        <w:rPr/>
      </w:pPr>
      <w:r>
        <w:t>IP地址条件：网络记录的独立IP地址数量达到2000万条时，智能合约将自动触发功能恢复。</w:t>
      </w:r>
    </w:p>
    <w:p>
      <w:pPr>
        <w:pStyle w:val="style0"/>
        <w:adjustRightInd/>
        <w:snapToGrid/>
        <w:spacing w:lineRule="auto" w:line="120"/>
        <w:ind w:firstLine="0" w:firstLineChars="0"/>
        <w:jc w:val="both"/>
        <w:rPr/>
      </w:pPr>
      <w:r>
        <w:t>质押验证节点数量：当质押验证节点数量达到50万台时，智能合约将自动启动交易功能。</w:t>
      </w:r>
    </w:p>
    <w:p>
      <w:pPr>
        <w:pStyle w:val="style0"/>
        <w:adjustRightInd/>
        <w:snapToGrid/>
        <w:spacing w:lineRule="auto" w:line="120"/>
        <w:ind w:firstLine="0" w:firstLineChars="0"/>
        <w:jc w:val="both"/>
        <w:rPr/>
      </w:pPr>
      <w:r>
        <w:t>全球流通量条件：当Uto代币的全球流通量达到五千万枚时，智能合约将自动开放受限功能。</w:t>
      </w:r>
    </w:p>
    <w:p>
      <w:pPr>
        <w:pStyle w:val="style0"/>
        <w:adjustRightInd/>
        <w:snapToGrid/>
        <w:spacing w:lineRule="auto" w:line="120"/>
        <w:ind w:firstLine="0" w:firstLineChars="0"/>
        <w:jc w:val="both"/>
        <w:rPr/>
      </w:pPr>
      <w:r>
        <w:t>政策和法规更新：智能合约将持续监测政策和法规变化，一旦相关政策允许，将自动启动功能恢复流程。</w:t>
      </w:r>
    </w:p>
    <w:p>
      <w:pPr>
        <w:pStyle w:val="style0"/>
        <w:adjustRightInd/>
        <w:snapToGrid/>
        <w:spacing w:lineRule="auto" w:line="120"/>
        <w:ind w:firstLine="0" w:firstLineChars="0"/>
        <w:jc w:val="both"/>
        <w:rPr/>
      </w:pPr>
      <w:r>
        <w:t>11. 合规性与政策遵循</w:t>
      </w:r>
    </w:p>
    <w:p>
      <w:pPr>
        <w:pStyle w:val="style0"/>
        <w:adjustRightInd/>
        <w:snapToGrid/>
        <w:spacing w:lineRule="auto" w:line="120"/>
        <w:ind w:firstLine="0" w:firstLineChars="0"/>
        <w:jc w:val="both"/>
        <w:rPr/>
      </w:pPr>
      <w:r>
        <w:t>法律法规遵守：Uto DePIN网络严格遵守中华人民共和国以及用户所在地的法律法规。</w:t>
      </w:r>
    </w:p>
    <w:p>
      <w:pPr>
        <w:pStyle w:val="style0"/>
        <w:adjustRightInd/>
        <w:snapToGrid/>
        <w:spacing w:lineRule="auto" w:line="120"/>
        <w:ind w:firstLine="0" w:firstLineChars="0"/>
        <w:jc w:val="both"/>
        <w:rPr/>
      </w:pPr>
      <w:r>
        <w:t>监管机构沟通：与监管机构保持密切沟通，及时了解最新的监管政策和要求。</w:t>
      </w:r>
    </w:p>
    <w:p>
      <w:pPr>
        <w:pStyle w:val="style0"/>
        <w:adjustRightInd/>
        <w:snapToGrid/>
        <w:spacing w:lineRule="auto" w:line="120"/>
        <w:ind w:firstLine="0" w:firstLineChars="0"/>
        <w:jc w:val="both"/>
        <w:rPr/>
      </w:pPr>
      <w:r>
        <w:t>内部合规机制：建立了一套完善的内部合规机制，包括合规审计、风险评估和员工培训等。</w:t>
      </w:r>
    </w:p>
    <w:p>
      <w:pPr>
        <w:pStyle w:val="style0"/>
        <w:adjustRightInd/>
        <w:snapToGrid/>
        <w:spacing w:lineRule="auto" w:line="120"/>
        <w:ind w:firstLine="0" w:firstLineChars="0"/>
        <w:jc w:val="both"/>
        <w:rPr/>
      </w:pPr>
      <w:r>
        <w:t>用户身份验证（KYC）：实施严格的用户身份验证流程，确保所有用户都是经过验证的合法个体。</w:t>
      </w:r>
    </w:p>
    <w:p>
      <w:pPr>
        <w:pStyle w:val="style0"/>
        <w:adjustRightInd/>
        <w:snapToGrid/>
        <w:spacing w:lineRule="auto" w:line="120"/>
        <w:ind w:firstLine="0" w:firstLineChars="0"/>
        <w:jc w:val="both"/>
        <w:rPr/>
      </w:pPr>
      <w:r>
        <w:t>反洗钱（AML）措施：采取有效的反洗钱措施，包括交易监控、大额交易报告和可疑活动报告等。</w:t>
      </w:r>
    </w:p>
    <w:p>
      <w:pPr>
        <w:pStyle w:val="style0"/>
        <w:adjustRightInd/>
        <w:snapToGrid/>
        <w:spacing w:lineRule="auto" w:line="120"/>
        <w:ind w:firstLine="0" w:firstLineChars="0"/>
        <w:jc w:val="both"/>
        <w:rPr/>
      </w:pPr>
      <w:r>
        <w:t>数据保护与隐私：严格遵守数据保护法规，对用户数据进行加密存储，并采取适当的安全措施保护用户隐私。</w:t>
      </w:r>
    </w:p>
    <w:p>
      <w:pPr>
        <w:pStyle w:val="style0"/>
        <w:adjustRightInd/>
        <w:snapToGrid/>
        <w:spacing w:lineRule="auto" w:line="120"/>
        <w:ind w:firstLine="0" w:firstLineChars="0"/>
        <w:jc w:val="both"/>
        <w:rPr/>
      </w:pPr>
      <w:r>
        <w:t>税务合规：确保所有交易的税务处理符合相关税法规定。</w:t>
      </w:r>
    </w:p>
    <w:p>
      <w:pPr>
        <w:pStyle w:val="style0"/>
        <w:adjustRightInd/>
        <w:snapToGrid/>
        <w:spacing w:lineRule="auto" w:line="120"/>
        <w:ind w:firstLine="0" w:firstLineChars="0"/>
        <w:jc w:val="both"/>
        <w:rPr/>
      </w:pPr>
      <w:r>
        <w:t>透明度报告：定期发布透明度报告，公开披露合规措施、风险管理和运营状况。</w:t>
      </w:r>
    </w:p>
    <w:p>
      <w:pPr>
        <w:pStyle w:val="style0"/>
        <w:adjustRightInd/>
        <w:snapToGrid/>
        <w:spacing w:lineRule="auto" w:line="120"/>
        <w:ind w:firstLine="0" w:firstLineChars="0"/>
        <w:jc w:val="both"/>
        <w:rPr/>
      </w:pPr>
      <w:r>
        <w:t>合规性教育：为用户和社区成员提供合规性教育，帮助他们理解相关法律法规。</w:t>
      </w:r>
    </w:p>
    <w:p>
      <w:pPr>
        <w:pStyle w:val="style0"/>
        <w:adjustRightInd/>
        <w:snapToGrid/>
        <w:spacing w:lineRule="auto" w:line="120"/>
        <w:ind w:firstLine="0" w:firstLineChars="0"/>
        <w:jc w:val="both"/>
        <w:rPr/>
      </w:pPr>
      <w:r>
        <w:t>应急响应计划：制定应急响应计划，以应对可能的合规风险和监管变化。</w:t>
      </w:r>
    </w:p>
    <w:p>
      <w:pPr>
        <w:pStyle w:val="style0"/>
        <w:adjustRightInd/>
        <w:snapToGrid/>
        <w:spacing w:lineRule="auto" w:line="120"/>
        <w:ind w:firstLine="0" w:firstLineChars="0"/>
        <w:jc w:val="both"/>
        <w:rPr/>
      </w:pPr>
      <w:r>
        <w:t>持续合规性审查：定期进行合规性审查和自我评估，确保服务和产品始终符合最新的法律法规要求。</w:t>
      </w:r>
    </w:p>
    <w:p>
      <w:pPr>
        <w:pStyle w:val="style0"/>
        <w:adjustRightInd/>
        <w:snapToGrid/>
        <w:spacing w:lineRule="auto" w:line="120"/>
        <w:ind w:firstLine="0" w:firstLineChars="0"/>
        <w:jc w:val="both"/>
        <w:rPr/>
      </w:pPr>
      <w:r>
        <w:t>12. Uto公链数字资产交易规则</w:t>
      </w:r>
    </w:p>
    <w:p>
      <w:pPr>
        <w:pStyle w:val="style0"/>
        <w:adjustRightInd/>
        <w:snapToGrid/>
        <w:spacing w:lineRule="auto" w:line="120"/>
        <w:ind w:firstLine="0" w:firstLineChars="0"/>
        <w:jc w:val="both"/>
        <w:rPr/>
      </w:pPr>
      <w:r>
        <w:t>交易规则：Uto公链平台制定了详细的数字资产交易规则，明确了交易双方的权益和义务，规范了交易流程和风险管理等方面的要求。</w:t>
      </w:r>
    </w:p>
    <w:p>
      <w:pPr>
        <w:pStyle w:val="style0"/>
        <w:adjustRightInd/>
        <w:snapToGrid/>
        <w:spacing w:lineRule="auto" w:line="120"/>
        <w:ind w:firstLine="0" w:firstLineChars="0"/>
        <w:jc w:val="both"/>
        <w:rPr/>
      </w:pPr>
      <w:r>
        <w:t>13. Uto公链社区社交规范</w:t>
      </w:r>
    </w:p>
    <w:p>
      <w:pPr>
        <w:pStyle w:val="style0"/>
        <w:adjustRightInd/>
        <w:snapToGrid/>
        <w:spacing w:lineRule="auto" w:line="120"/>
        <w:ind w:firstLine="0" w:firstLineChars="0"/>
        <w:jc w:val="both"/>
        <w:rPr/>
      </w:pPr>
      <w:r>
        <w:t>社交规范：在Uto公链社区中，每个成员都应尊重他人的言论自由和人格尊严，以友善、理性的态度参与讨论，尊重不同的观点和意见。</w:t>
      </w:r>
    </w:p>
    <w:p>
      <w:pPr>
        <w:pStyle w:val="style0"/>
        <w:adjustRightInd/>
        <w:snapToGrid/>
        <w:spacing w:lineRule="auto" w:line="120"/>
        <w:ind w:firstLine="0" w:firstLineChars="0"/>
        <w:jc w:val="both"/>
        <w:rPr/>
      </w:pPr>
      <w:r>
        <w:t>14. Uto公链用户权益保障协议</w:t>
      </w:r>
    </w:p>
    <w:p>
      <w:pPr>
        <w:pStyle w:val="style0"/>
        <w:adjustRightInd/>
        <w:snapToGrid/>
        <w:spacing w:lineRule="auto" w:line="120"/>
        <w:ind w:firstLine="0" w:firstLineChars="0"/>
        <w:jc w:val="both"/>
        <w:rPr/>
      </w:pPr>
      <w:r>
        <w:t>用户权益保障：Uto公链采取了多项安全保障措施，用户需自行承担账户安全责任，妥善保管好自己的账户登录密码和其他安全信息。</w:t>
      </w:r>
    </w:p>
    <w:p>
      <w:pPr>
        <w:pStyle w:val="style0"/>
        <w:adjustRightInd/>
        <w:snapToGrid/>
        <w:spacing w:lineRule="auto" w:line="120"/>
        <w:ind w:firstLine="0" w:firstLineChars="0"/>
        <w:jc w:val="both"/>
        <w:rPr/>
      </w:pPr>
      <w:r>
        <w:t>15. Uto公链合作伙伴协议</w:t>
      </w:r>
    </w:p>
    <w:p>
      <w:pPr>
        <w:pStyle w:val="style0"/>
        <w:adjustRightInd/>
        <w:snapToGrid/>
        <w:spacing w:lineRule="auto" w:line="120"/>
        <w:ind w:firstLine="0" w:firstLineChars="0"/>
        <w:jc w:val="both"/>
        <w:rPr/>
      </w:pPr>
      <w:r>
        <w:t>合作伙伴协议：Uto公链与合作伙伴之间应建立合法合规的合作关系，共同维护数字货币行业的良性发展和用户权益。</w:t>
      </w:r>
    </w:p>
    <w:p>
      <w:pPr>
        <w:pStyle w:val="style0"/>
        <w:adjustRightInd/>
        <w:snapToGrid/>
        <w:spacing w:lineRule="auto" w:line="120"/>
        <w:ind w:firstLine="0" w:firstLineChars="0"/>
        <w:jc w:val="both"/>
        <w:rPr/>
      </w:pPr>
      <w:r>
        <w:t>16. Uto公链社区贡献者奖励机制协议</w:t>
      </w:r>
    </w:p>
    <w:p>
      <w:pPr>
        <w:pStyle w:val="style0"/>
        <w:adjustRightInd/>
        <w:snapToGrid/>
        <w:spacing w:lineRule="auto" w:line="120"/>
        <w:ind w:firstLine="0" w:firstLineChars="0"/>
        <w:jc w:val="both"/>
        <w:rPr/>
      </w:pPr>
      <w:r>
        <w:t>奖励机制：Uto公链社区制定了一套奖励机制协议，根据每位社区成员的贡献程度和表现，提供相应的奖励和激励措施。</w:t>
      </w:r>
    </w:p>
    <w:p>
      <w:pPr>
        <w:pStyle w:val="style0"/>
        <w:adjustRightInd/>
        <w:snapToGrid/>
        <w:spacing w:lineRule="auto" w:line="120"/>
        <w:ind w:firstLine="0" w:firstLineChars="0"/>
        <w:jc w:val="both"/>
        <w:rPr/>
      </w:pPr>
      <w:r>
        <w:t>17. Uto公链治理委员会选举协议</w:t>
      </w:r>
    </w:p>
    <w:p>
      <w:pPr>
        <w:pStyle w:val="style0"/>
        <w:adjustRightInd/>
        <w:snapToGrid/>
        <w:spacing w:lineRule="auto" w:line="120"/>
        <w:ind w:firstLine="0" w:firstLineChars="0"/>
        <w:jc w:val="both"/>
        <w:rPr/>
      </w:pPr>
      <w:r>
        <w:t>治理委员会选举：社区成员可以通过投票选举治理委员会成员，并对治理委员会的工作进行监督和评价。</w:t>
      </w:r>
    </w:p>
    <w:p>
      <w:pPr>
        <w:pStyle w:val="style0"/>
        <w:adjustRightInd/>
        <w:snapToGrid/>
        <w:spacing w:lineRule="auto" w:line="120"/>
        <w:ind w:firstLine="0" w:firstLineChars="0"/>
        <w:jc w:val="both"/>
        <w:rPr/>
      </w:pPr>
      <w:r>
        <w:t>18. 海外用户协议</w:t>
      </w:r>
    </w:p>
    <w:p>
      <w:pPr>
        <w:pStyle w:val="style0"/>
        <w:adjustRightInd/>
        <w:snapToGrid/>
        <w:spacing w:lineRule="auto" w:line="120"/>
        <w:ind w:firstLine="0" w:firstLineChars="0"/>
        <w:jc w:val="both"/>
        <w:rPr/>
      </w:pPr>
      <w:r>
        <w:t>海外用户协议：海外用户在使用Uto公链平台进行虚拟币交易时，应充分了解相关风险，并明确自愿承担因此造成的潜在损失。</w:t>
      </w:r>
    </w:p>
    <w:p>
      <w:pPr>
        <w:pStyle w:val="style0"/>
        <w:adjustRightInd/>
        <w:snapToGrid/>
        <w:spacing w:lineRule="auto" w:line="120"/>
        <w:ind w:firstLine="0" w:firstLineChars="0"/>
        <w:jc w:val="both"/>
        <w:rPr/>
      </w:pPr>
      <w:r>
        <w:t>19. 平台使用</w:t>
      </w:r>
    </w:p>
    <w:p>
      <w:pPr>
        <w:pStyle w:val="style0"/>
        <w:adjustRightInd/>
        <w:snapToGrid/>
        <w:spacing w:lineRule="auto" w:line="120"/>
        <w:ind w:firstLine="0" w:firstLineChars="0"/>
        <w:jc w:val="both"/>
        <w:rPr/>
      </w:pPr>
      <w:r>
        <w:t>平台使用：用户在使用Uto公链平台时，应遵守相关法律法规和规定，不得进行任何违法违规的行为。</w:t>
      </w:r>
    </w:p>
    <w:p>
      <w:pPr>
        <w:pStyle w:val="style0"/>
        <w:adjustRightInd/>
        <w:snapToGrid/>
        <w:spacing w:lineRule="auto" w:line="120"/>
        <w:ind w:firstLine="0" w:firstLineChars="0"/>
        <w:jc w:val="both"/>
        <w:rPr/>
      </w:pPr>
      <w:r>
        <w:t>20. 风险免责</w:t>
      </w:r>
    </w:p>
    <w:p>
      <w:pPr>
        <w:pStyle w:val="style0"/>
        <w:adjustRightInd/>
        <w:snapToGrid/>
        <w:spacing w:lineRule="auto" w:line="120"/>
        <w:ind w:firstLine="0" w:firstLineChars="0"/>
        <w:jc w:val="both"/>
        <w:rPr/>
      </w:pPr>
      <w:r>
        <w:t>风险免责：平台不承担因市场波动、技术故障、黑客攻击等不可预见的情况导致的损失。</w:t>
      </w:r>
    </w:p>
    <w:p>
      <w:pPr>
        <w:pStyle w:val="style0"/>
        <w:adjustRightInd/>
        <w:snapToGrid/>
        <w:spacing w:lineRule="auto" w:line="120"/>
        <w:ind w:firstLine="0" w:firstLineChars="0"/>
        <w:jc w:val="both"/>
        <w:rPr/>
      </w:pPr>
      <w:r>
        <w:t>21. 安全措施</w:t>
      </w:r>
    </w:p>
    <w:p>
      <w:pPr>
        <w:pStyle w:val="style0"/>
        <w:adjustRightInd/>
        <w:snapToGrid/>
        <w:spacing w:lineRule="auto" w:line="120"/>
        <w:ind w:firstLine="0" w:firstLineChars="0"/>
        <w:jc w:val="both"/>
        <w:rPr/>
      </w:pPr>
      <w:r>
        <w:t>安全措施：用户应采取一系列必要的安全措施，如设置复杂密码、定期更新密码以及使用双重身份验证等。 </w:t>
      </w:r>
    </w:p>
    <w:p>
      <w:pPr>
        <w:pStyle w:val="style0"/>
        <w:adjustRightInd/>
        <w:snapToGrid/>
        <w:spacing w:lineRule="auto" w:line="120"/>
        <w:ind w:firstLine="0" w:firstLineChars="0"/>
        <w:jc w:val="both"/>
        <w:rPr/>
      </w:pPr>
      <w:r>
        <w:t>22. Uto DePIN生态系统合规性分析报告</w:t>
      </w:r>
    </w:p>
    <w:p>
      <w:pPr>
        <w:pStyle w:val="style0"/>
        <w:adjustRightInd/>
        <w:snapToGrid/>
        <w:spacing w:lineRule="auto" w:line="120"/>
        <w:ind w:firstLine="0" w:firstLineChars="0"/>
        <w:jc w:val="both"/>
        <w:rPr/>
      </w:pPr>
      <w:r>
        <w:t>一、报告概览</w:t>
      </w:r>
    </w:p>
    <w:p>
      <w:pPr>
        <w:pStyle w:val="style0"/>
        <w:adjustRightInd/>
        <w:snapToGrid/>
        <w:spacing w:lineRule="auto" w:line="120"/>
        <w:ind w:firstLine="0" w:firstLineChars="0"/>
        <w:jc w:val="both"/>
        <w:rPr/>
      </w:pPr>
      <w:r>
        <w:t>本报告对Uto DePIN生态系统的合规性进行了全面分析，确保其符合当前法律法规，同时与非法金融活动进行明确区分。</w:t>
      </w:r>
    </w:p>
    <w:p>
      <w:pPr>
        <w:pStyle w:val="style0"/>
        <w:adjustRightInd/>
        <w:snapToGrid/>
        <w:spacing w:lineRule="auto" w:line="120"/>
        <w:ind w:firstLine="0" w:firstLineChars="0"/>
        <w:jc w:val="both"/>
        <w:rPr/>
      </w:pPr>
      <w:r>
        <w:t>二、背景介绍</w:t>
      </w:r>
    </w:p>
    <w:p>
      <w:pPr>
        <w:pStyle w:val="style0"/>
        <w:adjustRightInd/>
        <w:snapToGrid/>
        <w:spacing w:lineRule="auto" w:line="120"/>
        <w:ind w:firstLine="0" w:firstLineChars="0"/>
        <w:jc w:val="both"/>
        <w:rPr/>
      </w:pPr>
      <w:r>
        <w:t>Uto DePIN生态系统是一个基于区块链技术的创新平台，旨在通过技术创新和社区贡献为用户提供合法、可持续的收益来源。</w:t>
      </w:r>
    </w:p>
    <w:p>
      <w:pPr>
        <w:pStyle w:val="style0"/>
        <w:adjustRightInd/>
        <w:snapToGrid/>
        <w:spacing w:lineRule="auto" w:line="120"/>
        <w:ind w:firstLine="0" w:firstLineChars="0"/>
        <w:jc w:val="both"/>
        <w:rPr/>
      </w:pPr>
      <w:r>
        <w:t>三、合规性分析</w:t>
      </w:r>
    </w:p>
    <w:p>
      <w:pPr>
        <w:pStyle w:val="style0"/>
        <w:adjustRightInd/>
        <w:snapToGrid/>
        <w:spacing w:lineRule="auto" w:line="120"/>
        <w:ind w:firstLine="0" w:firstLineChars="0"/>
        <w:jc w:val="both"/>
        <w:rPr/>
      </w:pPr>
      <w:r>
        <w:t>3.1 与资金盘的对比</w:t>
      </w:r>
    </w:p>
    <w:p>
      <w:pPr>
        <w:pStyle w:val="style0"/>
        <w:adjustRightInd/>
        <w:snapToGrid/>
        <w:spacing w:lineRule="auto" w:line="120"/>
        <w:ind w:firstLine="0" w:firstLineChars="0"/>
        <w:jc w:val="both"/>
        <w:rPr/>
      </w:pPr>
      <w:r>
        <w:t>资金盘特征：</w:t>
      </w:r>
    </w:p>
    <w:p>
      <w:pPr>
        <w:pStyle w:val="style0"/>
        <w:adjustRightInd/>
        <w:snapToGrid/>
        <w:spacing w:lineRule="auto" w:line="120"/>
        <w:ind w:firstLine="0" w:firstLineChars="0"/>
        <w:jc w:val="both"/>
        <w:rPr/>
      </w:pPr>
      <w:r>
        <w:t>收益来源：依赖新投资者资金支付早期投资者。</w:t>
      </w:r>
    </w:p>
    <w:p>
      <w:pPr>
        <w:pStyle w:val="style0"/>
        <w:adjustRightInd/>
        <w:snapToGrid/>
        <w:spacing w:lineRule="auto" w:line="120"/>
        <w:ind w:firstLine="0" w:firstLineChars="0"/>
        <w:jc w:val="both"/>
        <w:rPr/>
      </w:pPr>
      <w:r>
        <w:t>持续性：模式不可持续，易崩溃。</w:t>
      </w:r>
    </w:p>
    <w:p>
      <w:pPr>
        <w:pStyle w:val="style0"/>
        <w:adjustRightInd/>
        <w:snapToGrid/>
        <w:spacing w:lineRule="auto" w:line="120"/>
        <w:ind w:firstLine="0" w:firstLineChars="0"/>
        <w:jc w:val="both"/>
        <w:rPr/>
      </w:pPr>
      <w:r>
        <w:t>透明度：缺乏监管，信息不透明。</w:t>
      </w:r>
    </w:p>
    <w:p>
      <w:pPr>
        <w:pStyle w:val="style0"/>
        <w:adjustRightInd/>
        <w:snapToGrid/>
        <w:spacing w:lineRule="auto" w:line="120"/>
        <w:ind w:firstLine="0" w:firstLineChars="0"/>
        <w:jc w:val="both"/>
        <w:rPr/>
      </w:pPr>
      <w:r>
        <w:t>Uto DePIN生态系统：</w:t>
      </w:r>
    </w:p>
    <w:p>
      <w:pPr>
        <w:pStyle w:val="style0"/>
        <w:adjustRightInd/>
        <w:snapToGrid/>
        <w:spacing w:lineRule="auto" w:line="120"/>
        <w:ind w:firstLine="0" w:firstLineChars="0"/>
        <w:jc w:val="both"/>
        <w:rPr/>
      </w:pPr>
      <w:r>
        <w:t>收益来源多样，包括资源提供、社区治理、服务费和代币增值。</w:t>
      </w:r>
    </w:p>
    <w:p>
      <w:pPr>
        <w:pStyle w:val="style0"/>
        <w:adjustRightInd/>
        <w:snapToGrid/>
        <w:spacing w:lineRule="auto" w:line="120"/>
        <w:ind w:firstLine="0" w:firstLineChars="0"/>
        <w:jc w:val="both"/>
        <w:rPr/>
      </w:pPr>
      <w:r>
        <w:t>持续性依托于技术创新和社区贡献，模式可持续。</w:t>
      </w:r>
    </w:p>
    <w:p>
      <w:pPr>
        <w:pStyle w:val="style0"/>
        <w:adjustRightInd/>
        <w:snapToGrid/>
        <w:spacing w:lineRule="auto" w:line="120"/>
        <w:ind w:firstLine="0" w:firstLineChars="0"/>
        <w:jc w:val="both"/>
        <w:rPr/>
      </w:pPr>
      <w:r>
        <w:t>透明度高，区块链技术确保所有交易可追踪、可验证。</w:t>
      </w:r>
    </w:p>
    <w:p>
      <w:pPr>
        <w:pStyle w:val="style0"/>
        <w:adjustRightInd/>
        <w:snapToGrid/>
        <w:spacing w:lineRule="auto" w:line="120"/>
        <w:ind w:firstLine="0" w:firstLineChars="0"/>
        <w:jc w:val="both"/>
        <w:rPr/>
      </w:pPr>
      <w:r>
        <w:t>3.2 与传销活动的对比</w:t>
      </w:r>
    </w:p>
    <w:p>
      <w:pPr>
        <w:pStyle w:val="style0"/>
        <w:adjustRightInd/>
        <w:snapToGrid/>
        <w:spacing w:lineRule="auto" w:line="120"/>
        <w:ind w:firstLine="0" w:firstLineChars="0"/>
        <w:jc w:val="both"/>
        <w:rPr/>
      </w:pPr>
      <w:r>
        <w:t>传销特征：</w:t>
      </w:r>
    </w:p>
    <w:p>
      <w:pPr>
        <w:pStyle w:val="style0"/>
        <w:adjustRightInd/>
        <w:snapToGrid/>
        <w:spacing w:lineRule="auto" w:line="120"/>
        <w:ind w:firstLine="0" w:firstLineChars="0"/>
        <w:jc w:val="both"/>
        <w:rPr/>
      </w:pPr>
      <w:r>
        <w:t>收益机制：主要依赖发展下线，层级结构明显。</w:t>
      </w:r>
    </w:p>
    <w:p>
      <w:pPr>
        <w:pStyle w:val="style0"/>
        <w:adjustRightInd/>
        <w:snapToGrid/>
        <w:spacing w:lineRule="auto" w:line="120"/>
        <w:ind w:firstLine="0" w:firstLineChars="0"/>
        <w:jc w:val="both"/>
        <w:rPr/>
      </w:pPr>
      <w:r>
        <w:t>产品或服务：往往缺乏实质性产品或服务支撑。</w:t>
      </w:r>
    </w:p>
    <w:p>
      <w:pPr>
        <w:pStyle w:val="style0"/>
        <w:adjustRightInd/>
        <w:snapToGrid/>
        <w:spacing w:lineRule="auto" w:line="120"/>
        <w:ind w:firstLine="0" w:firstLineChars="0"/>
        <w:jc w:val="both"/>
        <w:rPr/>
      </w:pPr>
      <w:r>
        <w:t>Uto DePIN生态系统：</w:t>
      </w:r>
    </w:p>
    <w:p>
      <w:pPr>
        <w:pStyle w:val="style0"/>
        <w:adjustRightInd/>
        <w:snapToGrid/>
        <w:spacing w:lineRule="auto" w:line="120"/>
        <w:ind w:firstLine="0" w:firstLineChars="0"/>
        <w:jc w:val="both"/>
        <w:rPr/>
      </w:pPr>
      <w:r>
        <w:t>收益与个人贡献直接相关，不依赖发展下线。</w:t>
      </w:r>
    </w:p>
    <w:p>
      <w:pPr>
        <w:pStyle w:val="style0"/>
        <w:adjustRightInd/>
        <w:snapToGrid/>
        <w:spacing w:lineRule="auto" w:line="120"/>
        <w:ind w:firstLine="0" w:firstLineChars="0"/>
        <w:jc w:val="both"/>
        <w:rPr/>
      </w:pPr>
      <w:r>
        <w:t>提供实质性的区块链技术服务和社区治理参与。</w:t>
      </w:r>
    </w:p>
    <w:p>
      <w:pPr>
        <w:pStyle w:val="style0"/>
        <w:adjustRightInd/>
        <w:snapToGrid/>
        <w:spacing w:lineRule="auto" w:line="120"/>
        <w:ind w:firstLine="0" w:firstLineChars="0"/>
        <w:jc w:val="both"/>
        <w:rPr/>
      </w:pPr>
      <w:r>
        <w:t>3.3 与非法金融活动的对比</w:t>
      </w:r>
    </w:p>
    <w:p>
      <w:pPr>
        <w:pStyle w:val="style0"/>
        <w:adjustRightInd/>
        <w:snapToGrid/>
        <w:spacing w:lineRule="auto" w:line="120"/>
        <w:ind w:firstLine="0" w:firstLineChars="0"/>
        <w:jc w:val="both"/>
        <w:rPr/>
      </w:pPr>
      <w:r>
        <w:t>非法金融特征：</w:t>
      </w:r>
    </w:p>
    <w:p>
      <w:pPr>
        <w:pStyle w:val="style0"/>
        <w:adjustRightInd/>
        <w:snapToGrid/>
        <w:spacing w:lineRule="auto" w:line="120"/>
        <w:ind w:firstLine="0" w:firstLineChars="0"/>
        <w:jc w:val="both"/>
        <w:rPr/>
      </w:pPr>
      <w:r>
        <w:t>法律合规性：常违反金融法规，逃避监管。</w:t>
      </w:r>
    </w:p>
    <w:p>
      <w:pPr>
        <w:pStyle w:val="style0"/>
        <w:adjustRightInd/>
        <w:snapToGrid/>
        <w:spacing w:lineRule="auto" w:line="120"/>
        <w:ind w:firstLine="0" w:firstLineChars="0"/>
        <w:jc w:val="both"/>
        <w:rPr/>
      </w:pPr>
      <w:r>
        <w:t>风险性：高风险，可能涉及欺诈。</w:t>
      </w:r>
    </w:p>
    <w:p>
      <w:pPr>
        <w:pStyle w:val="style0"/>
        <w:adjustRightInd/>
        <w:snapToGrid/>
        <w:spacing w:lineRule="auto" w:line="120"/>
        <w:ind w:firstLine="0" w:firstLineChars="0"/>
        <w:jc w:val="both"/>
        <w:rPr/>
      </w:pPr>
      <w:r>
        <w:t>Uto DePIN生态系统：</w:t>
      </w:r>
    </w:p>
    <w:p>
      <w:pPr>
        <w:pStyle w:val="style0"/>
        <w:adjustRightInd/>
        <w:snapToGrid/>
        <w:spacing w:lineRule="auto" w:line="120"/>
        <w:ind w:firstLine="0" w:firstLineChars="0"/>
        <w:jc w:val="both"/>
        <w:rPr/>
      </w:pPr>
      <w:r>
        <w:t>严格遵守法律法规，与监管机构保持沟通。</w:t>
      </w:r>
    </w:p>
    <w:p>
      <w:pPr>
        <w:pStyle w:val="style0"/>
        <w:adjustRightInd/>
        <w:snapToGrid/>
        <w:spacing w:lineRule="auto" w:line="120"/>
        <w:ind w:firstLine="0" w:firstLineChars="0"/>
        <w:jc w:val="both"/>
        <w:rPr/>
      </w:pPr>
      <w:r>
        <w:t>实施KYC、AML等合规措施，有效管理风险。</w:t>
      </w:r>
    </w:p>
    <w:p>
      <w:pPr>
        <w:pStyle w:val="style0"/>
        <w:adjustRightInd/>
        <w:snapToGrid/>
        <w:spacing w:lineRule="auto" w:line="120"/>
        <w:ind w:firstLine="0" w:firstLineChars="0"/>
        <w:jc w:val="both"/>
        <w:rPr/>
      </w:pPr>
      <w:r>
        <w:t>3.4 与不公平利益分配体系的对比</w:t>
      </w:r>
    </w:p>
    <w:p>
      <w:pPr>
        <w:pStyle w:val="style0"/>
        <w:adjustRightInd/>
        <w:snapToGrid/>
        <w:spacing w:lineRule="auto" w:line="120"/>
        <w:ind w:firstLine="0" w:firstLineChars="0"/>
        <w:jc w:val="both"/>
        <w:rPr/>
      </w:pPr>
      <w:r>
        <w:t>不公平利益分配体系：</w:t>
      </w:r>
    </w:p>
    <w:p>
      <w:pPr>
        <w:pStyle w:val="style0"/>
        <w:adjustRightInd/>
        <w:snapToGrid/>
        <w:spacing w:lineRule="auto" w:line="120"/>
        <w:ind w:firstLine="0" w:firstLineChars="0"/>
        <w:jc w:val="both"/>
        <w:rPr/>
      </w:pPr>
      <w:r>
        <w:t>利益分配：少数人获利，多数人受损。</w:t>
      </w:r>
    </w:p>
    <w:p>
      <w:pPr>
        <w:pStyle w:val="style0"/>
        <w:adjustRightInd/>
        <w:snapToGrid/>
        <w:spacing w:lineRule="auto" w:line="120"/>
        <w:ind w:firstLine="0" w:firstLineChars="0"/>
        <w:jc w:val="both"/>
        <w:rPr/>
      </w:pPr>
      <w:r>
        <w:t>公平性：市场失衡，缺乏公平性。</w:t>
      </w:r>
    </w:p>
    <w:p>
      <w:pPr>
        <w:pStyle w:val="style0"/>
        <w:adjustRightInd/>
        <w:snapToGrid/>
        <w:spacing w:lineRule="auto" w:line="120"/>
        <w:ind w:firstLine="0" w:firstLineChars="0"/>
        <w:jc w:val="both"/>
        <w:rPr/>
      </w:pPr>
      <w:r>
        <w:t>Uto DePIN生态系统：</w:t>
      </w:r>
    </w:p>
    <w:p>
      <w:pPr>
        <w:pStyle w:val="style0"/>
        <w:adjustRightInd/>
        <w:snapToGrid/>
        <w:spacing w:lineRule="auto" w:line="120"/>
        <w:ind w:firstLine="0" w:firstLineChars="0"/>
        <w:jc w:val="both"/>
        <w:rPr/>
      </w:pPr>
      <w:r>
        <w:t>利益分配基于用户贡献和市场表现，实现公平分配。</w:t>
      </w:r>
    </w:p>
    <w:p>
      <w:pPr>
        <w:pStyle w:val="style0"/>
        <w:adjustRightInd/>
        <w:snapToGrid/>
        <w:spacing w:lineRule="auto" w:line="120"/>
        <w:ind w:firstLine="0" w:firstLineChars="0"/>
        <w:jc w:val="both"/>
        <w:rPr/>
      </w:pPr>
      <w:r>
        <w:t>通过智能合约和社区治理确保公平性。</w:t>
      </w:r>
    </w:p>
    <w:p>
      <w:pPr>
        <w:pStyle w:val="style0"/>
        <w:adjustRightInd/>
        <w:snapToGrid/>
        <w:spacing w:lineRule="auto" w:line="120"/>
        <w:ind w:firstLine="0" w:firstLineChars="0"/>
        <w:jc w:val="both"/>
        <w:rPr/>
      </w:pPr>
      <w:r>
        <w:t>四、用户收益来源分析</w:t>
      </w:r>
    </w:p>
    <w:p>
      <w:pPr>
        <w:pStyle w:val="style0"/>
        <w:adjustRightInd/>
        <w:snapToGrid/>
        <w:spacing w:lineRule="auto" w:line="120"/>
        <w:ind w:firstLine="0" w:firstLineChars="0"/>
        <w:jc w:val="both"/>
        <w:rPr/>
      </w:pPr>
      <w:r>
        <w:t>用户通过以下方式获得收益：</w:t>
      </w:r>
    </w:p>
    <w:p>
      <w:pPr>
        <w:pStyle w:val="style0"/>
        <w:adjustRightInd/>
        <w:snapToGrid/>
        <w:spacing w:lineRule="auto" w:line="120"/>
        <w:ind w:firstLine="0" w:firstLineChars="0"/>
        <w:jc w:val="both"/>
        <w:rPr/>
      </w:pPr>
      <w:r>
        <w:t>提供计算、存储等资源获得服务费。</w:t>
      </w:r>
    </w:p>
    <w:p>
      <w:pPr>
        <w:pStyle w:val="style0"/>
        <w:adjustRightInd/>
        <w:snapToGrid/>
        <w:spacing w:lineRule="auto" w:line="120"/>
        <w:ind w:firstLine="0" w:firstLineChars="0"/>
        <w:jc w:val="both"/>
        <w:rPr/>
      </w:pPr>
      <w:r>
        <w:t>参与网络治理和决策，获得治理奖励。</w:t>
      </w:r>
    </w:p>
    <w:p>
      <w:pPr>
        <w:pStyle w:val="style0"/>
        <w:adjustRightInd/>
        <w:snapToGrid/>
        <w:spacing w:lineRule="auto" w:line="120"/>
        <w:ind w:firstLine="0" w:firstLineChars="0"/>
        <w:jc w:val="both"/>
        <w:rPr/>
      </w:pPr>
      <w:r>
        <w:t>随着网络增长，代币价值提升带来的资本增值。</w:t>
      </w:r>
    </w:p>
    <w:p>
      <w:pPr>
        <w:pStyle w:val="style0"/>
        <w:adjustRightInd/>
        <w:snapToGrid/>
        <w:spacing w:lineRule="auto" w:line="120"/>
        <w:ind w:firstLine="0" w:firstLineChars="0"/>
        <w:jc w:val="both"/>
        <w:rPr/>
      </w:pPr>
      <w:r>
        <w:t>五、合规性措施</w:t>
      </w:r>
    </w:p>
    <w:p>
      <w:pPr>
        <w:pStyle w:val="style0"/>
        <w:adjustRightInd/>
        <w:snapToGrid/>
        <w:spacing w:lineRule="auto" w:line="120"/>
        <w:ind w:firstLine="0" w:firstLineChars="0"/>
        <w:jc w:val="both"/>
        <w:rPr/>
      </w:pPr>
      <w:r>
        <w:t>实施KYC、AML等合规措施，确保用户身份和资金来源合法。</w:t>
      </w:r>
    </w:p>
    <w:p>
      <w:pPr>
        <w:pStyle w:val="style0"/>
        <w:adjustRightInd/>
        <w:snapToGrid/>
        <w:spacing w:lineRule="auto" w:line="120"/>
        <w:ind w:firstLine="0" w:firstLineChars="0"/>
        <w:jc w:val="both"/>
        <w:rPr/>
      </w:pPr>
      <w:r>
        <w:t>定期发布透明度报告，增强生态系统的透明度和信任度。</w:t>
      </w:r>
    </w:p>
    <w:p>
      <w:pPr>
        <w:pStyle w:val="style0"/>
        <w:adjustRightInd/>
        <w:snapToGrid/>
        <w:spacing w:lineRule="auto" w:line="120"/>
        <w:ind w:firstLine="0" w:firstLineChars="0"/>
        <w:jc w:val="both"/>
        <w:rPr/>
      </w:pPr>
      <w:r>
        <w:t>与监管机构保持沟通，确保业务模式和运营策略符合法律法规。</w:t>
      </w:r>
    </w:p>
    <w:p>
      <w:pPr>
        <w:pStyle w:val="style0"/>
        <w:adjustRightInd/>
        <w:snapToGrid/>
        <w:spacing w:lineRule="auto" w:line="120"/>
        <w:ind w:firstLine="0" w:firstLineChars="0"/>
        <w:jc w:val="both"/>
        <w:rPr/>
      </w:pPr>
      <w:r>
        <w:t>六、结论与建议</w:t>
      </w:r>
    </w:p>
    <w:p>
      <w:pPr>
        <w:pStyle w:val="style0"/>
        <w:adjustRightInd/>
        <w:snapToGrid/>
        <w:spacing w:lineRule="auto" w:line="120"/>
        <w:ind w:firstLine="0" w:firstLineChars="0"/>
        <w:jc w:val="both"/>
        <w:rPr/>
      </w:pPr>
      <w:r>
        <w:t>Uto DePIN生态系统在设计和运营上均显示出对合规性的高度重视。通过对比分析，我们认为Uto DePIN生态系统与非法金融活动有本质区别，为用户提供了一个合法、可持续的收益平台。建议Uto DePIN生态系统继续加强与监管机构的沟通，根据政策动态调整服务和运营策略，确保长期的合规性和用户权益的保护。</w:t>
      </w:r>
    </w:p>
    <w:p>
      <w:pPr>
        <w:pStyle w:val="style0"/>
        <w:adjustRightInd/>
        <w:snapToGrid/>
        <w:spacing w:lineRule="auto" w:line="120"/>
        <w:ind w:firstLine="0" w:firstLineChars="0"/>
        <w:jc w:val="both"/>
        <w:rPr/>
      </w:pPr>
      <w:r>
        <w:t>七、附录</w:t>
      </w:r>
    </w:p>
    <w:p>
      <w:pPr>
        <w:pStyle w:val="style0"/>
        <w:adjustRightInd/>
        <w:snapToGrid/>
        <w:spacing w:lineRule="auto" w:line="120"/>
        <w:ind w:firstLine="0" w:firstLineChars="0"/>
        <w:jc w:val="both"/>
        <w:rPr/>
      </w:pPr>
      <w:r>
        <w:t>Uto DePIN网络系统在设计和运营上已经考虑到了中国大陆的法律法规，并采取了一系列措施以确保合规性。以下是Uto DePIN网络系统与中国大陆政策的对比分析：</w:t>
      </w:r>
    </w:p>
    <w:p>
      <w:pPr>
        <w:pStyle w:val="style0"/>
        <w:adjustRightInd/>
        <w:snapToGrid/>
        <w:spacing w:lineRule="auto" w:line="120"/>
        <w:ind w:firstLine="0" w:firstLineChars="0"/>
        <w:jc w:val="both"/>
        <w:rPr/>
      </w:pPr>
      <w:r>
        <w:t>虚拟货币的法律地位：</w:t>
      </w:r>
    </w:p>
    <w:p>
      <w:pPr>
        <w:pStyle w:val="style0"/>
        <w:adjustRightInd/>
        <w:snapToGrid/>
        <w:spacing w:lineRule="auto" w:line="120"/>
        <w:ind w:firstLine="0" w:firstLineChars="0"/>
        <w:jc w:val="both"/>
        <w:rPr/>
      </w:pPr>
      <w:r>
        <w:t>中国大陆政策：虚拟货币不具有与法定货币等同的法律地位，不应且不能作为货币在市场上流通使用。</w:t>
      </w:r>
    </w:p>
    <w:p>
      <w:pPr>
        <w:pStyle w:val="style0"/>
        <w:adjustRightInd/>
        <w:snapToGrid/>
        <w:spacing w:lineRule="auto" w:line="120"/>
        <w:ind w:firstLine="0" w:firstLineChars="0"/>
        <w:jc w:val="both"/>
        <w:rPr/>
      </w:pPr>
      <w:r>
        <w:t>Uto DePIN网络：明确其代币设计为生态系统内部使用的交换媒介，并非作为法定货币在市场上流通，符合中国大陆对虚拟货币的定位。</w:t>
      </w:r>
    </w:p>
    <w:p>
      <w:pPr>
        <w:pStyle w:val="style0"/>
        <w:adjustRightInd/>
        <w:snapToGrid/>
        <w:spacing w:lineRule="auto" w:line="120"/>
        <w:ind w:firstLine="0" w:firstLineChars="0"/>
        <w:jc w:val="both"/>
        <w:rPr/>
      </w:pPr>
      <w:r>
        <w:t>非法金融活动：</w:t>
      </w:r>
    </w:p>
    <w:p>
      <w:pPr>
        <w:pStyle w:val="style0"/>
        <w:adjustRightInd/>
        <w:snapToGrid/>
        <w:spacing w:lineRule="auto" w:line="120"/>
        <w:ind w:firstLine="0" w:firstLineChars="0"/>
        <w:jc w:val="both"/>
        <w:rPr/>
      </w:pPr>
      <w:r>
        <w:t>中国大陆政策：严格禁止虚拟货币相关业务活动，如法定货币与虚拟货币兑换业务、代币发行融资等。</w:t>
      </w:r>
    </w:p>
    <w:p>
      <w:pPr>
        <w:pStyle w:val="style0"/>
        <w:adjustRightInd/>
        <w:snapToGrid/>
        <w:spacing w:lineRule="auto" w:line="120"/>
        <w:ind w:firstLine="0" w:firstLineChars="0"/>
        <w:jc w:val="both"/>
        <w:rPr/>
      </w:pPr>
      <w:r>
        <w:t>Uto DePIN网络：避免涉及非法金融活动，其代币铸造、销毁兑现等机制不涉及法定货币兑换，且不提供虚拟货币之间的兑换业务。</w:t>
      </w:r>
    </w:p>
    <w:p>
      <w:pPr>
        <w:pStyle w:val="style0"/>
        <w:adjustRightInd/>
        <w:snapToGrid/>
        <w:spacing w:lineRule="auto" w:line="120"/>
        <w:ind w:firstLine="0" w:firstLineChars="0"/>
        <w:jc w:val="both"/>
        <w:rPr/>
      </w:pPr>
      <w:r>
        <w:t>境外服务提供：</w:t>
      </w:r>
    </w:p>
    <w:p>
      <w:pPr>
        <w:pStyle w:val="style0"/>
        <w:adjustRightInd/>
        <w:snapToGrid/>
        <w:spacing w:lineRule="auto" w:line="120"/>
        <w:ind w:firstLine="0" w:firstLineChars="0"/>
        <w:jc w:val="both"/>
        <w:rPr/>
      </w:pPr>
      <w:r>
        <w:t>中国大陆政策：境外虚拟货币交易所通过互联网向中国大陆境内居民提供服务属于非法金融活动。</w:t>
      </w:r>
    </w:p>
    <w:p>
      <w:pPr>
        <w:pStyle w:val="style0"/>
        <w:adjustRightInd/>
        <w:snapToGrid/>
        <w:spacing w:lineRule="auto" w:line="120"/>
        <w:ind w:firstLine="0" w:firstLineChars="0"/>
        <w:jc w:val="both"/>
        <w:rPr/>
      </w:pPr>
      <w:r>
        <w:t>Uto DePIN网络：如果Uto DePIN网络不通过境外交易所向中国大陆居民提供服务，则可能不违反政策。</w:t>
      </w:r>
    </w:p>
    <w:p>
      <w:pPr>
        <w:pStyle w:val="style0"/>
        <w:adjustRightInd/>
        <w:snapToGrid/>
        <w:spacing w:lineRule="auto" w:line="120"/>
        <w:ind w:firstLine="0" w:firstLineChars="0"/>
        <w:jc w:val="both"/>
        <w:rPr/>
      </w:pPr>
      <w:r>
        <w:t>投资交易风险：</w:t>
      </w:r>
    </w:p>
    <w:p>
      <w:pPr>
        <w:pStyle w:val="style0"/>
        <w:adjustRightInd/>
        <w:snapToGrid/>
        <w:spacing w:lineRule="auto" w:line="120"/>
        <w:ind w:firstLine="0" w:firstLineChars="0"/>
        <w:jc w:val="both"/>
        <w:rPr/>
      </w:pPr>
      <w:r>
        <w:t>中国大陆政策：参与虚拟货币投资交易活动存在法律风险。</w:t>
      </w:r>
    </w:p>
    <w:p>
      <w:pPr>
        <w:pStyle w:val="style0"/>
        <w:adjustRightInd/>
        <w:snapToGrid/>
        <w:spacing w:lineRule="auto" w:line="120"/>
        <w:ind w:firstLine="0" w:firstLineChars="0"/>
        <w:jc w:val="both"/>
        <w:rPr/>
      </w:pPr>
      <w:r>
        <w:t>Uto DePIN网络：需要确保用户参与的活动不构成投资交易，且用户充分了解可能存在的法律风险。</w:t>
      </w:r>
    </w:p>
    <w:p>
      <w:pPr>
        <w:pStyle w:val="style0"/>
        <w:adjustRightInd/>
        <w:snapToGrid/>
        <w:spacing w:lineRule="auto" w:line="120"/>
        <w:ind w:firstLine="0" w:firstLineChars="0"/>
        <w:jc w:val="both"/>
        <w:rPr/>
      </w:pPr>
      <w:r>
        <w:t>金融服务提供：</w:t>
      </w:r>
    </w:p>
    <w:p>
      <w:pPr>
        <w:pStyle w:val="style0"/>
        <w:adjustRightInd/>
        <w:snapToGrid/>
        <w:spacing w:lineRule="auto" w:line="120"/>
        <w:ind w:firstLine="0" w:firstLineChars="0"/>
        <w:jc w:val="both"/>
        <w:rPr/>
      </w:pPr>
      <w:r>
        <w:t>中国大陆政策：金融机构和非银行支付机构不得为虚拟货币相关业务活动提供服务。</w:t>
      </w:r>
    </w:p>
    <w:p>
      <w:pPr>
        <w:pStyle w:val="style0"/>
        <w:adjustRightInd/>
        <w:snapToGrid/>
        <w:spacing w:lineRule="auto" w:line="120"/>
        <w:ind w:firstLine="0" w:firstLineChars="0"/>
        <w:jc w:val="both"/>
        <w:rPr/>
      </w:pPr>
      <w:r>
        <w:t>Uto DePIN网络：应避免与金融机构和非银行支付机构合作提供与虚拟货币相关的服务。</w:t>
      </w:r>
    </w:p>
    <w:p>
      <w:pPr>
        <w:pStyle w:val="style0"/>
        <w:adjustRightInd/>
        <w:snapToGrid/>
        <w:spacing w:lineRule="auto" w:line="120"/>
        <w:ind w:firstLine="0" w:firstLineChars="0"/>
        <w:jc w:val="both"/>
        <w:rPr/>
      </w:pPr>
      <w:r>
        <w:t>合规性措施：</w:t>
      </w:r>
    </w:p>
    <w:p>
      <w:pPr>
        <w:pStyle w:val="style0"/>
        <w:adjustRightInd/>
        <w:snapToGrid/>
        <w:spacing w:lineRule="auto" w:line="120"/>
        <w:ind w:firstLine="0" w:firstLineChars="0"/>
        <w:jc w:val="both"/>
        <w:rPr/>
      </w:pPr>
      <w:r>
        <w:t>中国大陆政策：要求加强合规性管理，如实施KYC、AML等。</w:t>
      </w:r>
    </w:p>
    <w:p>
      <w:pPr>
        <w:pStyle w:val="style0"/>
        <w:adjustRightInd/>
        <w:snapToGrid/>
        <w:spacing w:lineRule="auto" w:line="120"/>
        <w:ind w:firstLine="0" w:firstLineChars="0"/>
        <w:jc w:val="both"/>
        <w:rPr/>
      </w:pPr>
      <w:r>
        <w:t>Uto DePIN网络：已提出一系列合规性措施，包括KYC、AML等，以确保网络的合规性。</w:t>
      </w:r>
    </w:p>
    <w:p>
      <w:pPr>
        <w:pStyle w:val="style0"/>
        <w:adjustRightInd/>
        <w:snapToGrid/>
        <w:spacing w:lineRule="auto" w:line="120"/>
        <w:ind w:firstLine="0" w:firstLineChars="0"/>
        <w:jc w:val="both"/>
        <w:rPr/>
      </w:pPr>
      <w:r>
        <w:t>广告与市场主体管理：</w:t>
      </w:r>
    </w:p>
    <w:p>
      <w:pPr>
        <w:pStyle w:val="style0"/>
        <w:adjustRightInd/>
        <w:snapToGrid/>
        <w:spacing w:lineRule="auto" w:line="120"/>
        <w:ind w:firstLine="0" w:firstLineChars="0"/>
        <w:jc w:val="both"/>
        <w:rPr/>
      </w:pPr>
      <w:r>
        <w:t>中国大陆政策：市场监管部门加强市场主体登记管理，不得含有与虚拟货币相关字样或内容。</w:t>
      </w:r>
    </w:p>
    <w:p>
      <w:pPr>
        <w:pStyle w:val="style0"/>
        <w:adjustRightInd/>
        <w:snapToGrid/>
        <w:spacing w:lineRule="auto" w:line="120"/>
        <w:ind w:firstLine="0" w:firstLineChars="0"/>
        <w:jc w:val="both"/>
        <w:rPr/>
      </w:pPr>
      <w:r>
        <w:t>Uto DePIN网络：应遵守市场监管部门的规定，确保其广告和市场主体登记不违反政策。</w:t>
      </w:r>
    </w:p>
    <w:p>
      <w:pPr>
        <w:pStyle w:val="style0"/>
        <w:adjustRightInd/>
        <w:snapToGrid/>
        <w:spacing w:lineRule="auto" w:line="120"/>
        <w:ind w:firstLine="0" w:firstLineChars="0"/>
        <w:jc w:val="both"/>
        <w:rPr/>
      </w:pPr>
      <w:r>
        <w:t>功能限制与恢复条件：</w:t>
      </w:r>
    </w:p>
    <w:p>
      <w:pPr>
        <w:pStyle w:val="style0"/>
        <w:adjustRightInd/>
        <w:snapToGrid/>
        <w:spacing w:lineRule="auto" w:line="120"/>
        <w:ind w:firstLine="0" w:firstLineChars="0"/>
        <w:jc w:val="both"/>
        <w:rPr/>
      </w:pPr>
      <w:r>
        <w:t>中国大陆政策：对于虚拟货币相关业务活动实施严格监管。</w:t>
      </w:r>
    </w:p>
    <w:p>
      <w:pPr>
        <w:pStyle w:val="style0"/>
        <w:adjustRightInd/>
        <w:snapToGrid/>
        <w:spacing w:lineRule="auto" w:line="120"/>
        <w:ind w:firstLine="0" w:firstLineChars="0"/>
        <w:jc w:val="both"/>
        <w:rPr/>
      </w:pPr>
      <w:r>
        <w:t>Uto DePIN网络：针对中国大陆用户实施了功能限制，并设定了功能恢复条件，以在合规框架内逐步恢复服务。</w:t>
      </w:r>
    </w:p>
    <w:p>
      <w:pPr>
        <w:pStyle w:val="style0"/>
        <w:adjustRightInd/>
        <w:snapToGrid/>
        <w:spacing w:lineRule="auto" w:line="120"/>
        <w:ind w:firstLine="0" w:firstLineChars="0"/>
        <w:jc w:val="both"/>
        <w:rPr/>
      </w:pPr>
      <w:r>
        <w:t>政策遵循与监管沟通：</w:t>
      </w:r>
    </w:p>
    <w:p>
      <w:pPr>
        <w:pStyle w:val="style0"/>
        <w:adjustRightInd/>
        <w:snapToGrid/>
        <w:spacing w:lineRule="auto" w:line="120"/>
        <w:ind w:firstLine="0" w:firstLineChars="0"/>
        <w:jc w:val="both"/>
        <w:rPr/>
      </w:pPr>
      <w:r>
        <w:t>中国大陆政策：要求相关机构与监管机构保持沟通，确保业务模式和运营策略符合法律法规。</w:t>
      </w:r>
    </w:p>
    <w:p>
      <w:pPr>
        <w:pStyle w:val="style0"/>
        <w:adjustRightInd/>
        <w:snapToGrid/>
        <w:spacing w:lineRule="auto" w:line="120"/>
        <w:ind w:firstLine="0" w:firstLineChars="0"/>
        <w:jc w:val="both"/>
        <w:rPr/>
      </w:pPr>
      <w:r>
        <w:t>Uto DePIN网络：强调了与监管机构的沟通和政策遵循。</w:t>
      </w:r>
    </w:p>
    <w:p>
      <w:pPr>
        <w:pStyle w:val="style0"/>
        <w:adjustRightInd/>
        <w:snapToGrid/>
        <w:spacing w:lineRule="auto" w:line="120"/>
        <w:ind w:firstLine="0" w:firstLineChars="0"/>
        <w:jc w:val="both"/>
        <w:rPr/>
      </w:pPr>
      <w:r>
        <w:t>综合以上对比，Uto DePIN网络在设计上有意遵循中国大陆的虚拟货币政策，并采取了多项措施以确保合规性。然而，最终的合规性判断需要根据实际运营情况、用户行为以及监管机构的具体要求来确定。建议Uto DePIN网络持续与监管机构沟通，并根据政策动态调整其服务和运营策略。同时，建议咨询专业法律顾问，以获得更深入的法律分析和专业意见。</w:t>
      </w:r>
    </w:p>
    <w:p>
      <w:pPr>
        <w:pStyle w:val="style0"/>
        <w:adjustRightInd/>
        <w:snapToGrid/>
        <w:spacing w:lineRule="auto" w:line="120"/>
        <w:ind w:firstLine="0" w:firstLineChars="0"/>
        <w:jc w:val="both"/>
        <w:rPr/>
      </w:pPr>
      <w:r>
        <w:t> </w:t>
      </w:r>
    </w:p>
    <w:p>
      <w:pPr>
        <w:pStyle w:val="style0"/>
        <w:adjustRightInd/>
        <w:snapToGrid/>
        <w:spacing w:lineRule="auto" w:line="120"/>
        <w:ind w:firstLine="0" w:firstLineChars="0"/>
        <w:jc w:val="both"/>
        <w:rPr>
          <w:rFonts w:hint="eastAsia"/>
          <w:lang w:eastAsia="zh-CN"/>
        </w:rPr>
      </w:pPr>
      <w:r>
        <w:rPr>
          <w:rFonts w:hint="eastAsia"/>
          <w:lang w:eastAsia="zh-CN"/>
        </w:rPr>
        <w:t>以下是支持区块链的相关政策和文档名称：</w:t>
      </w:r>
    </w:p>
    <w:p>
      <w:pPr>
        <w:pStyle w:val="style0"/>
        <w:adjustRightInd/>
        <w:snapToGrid/>
        <w:spacing w:lineRule="auto" w:line="120"/>
        <w:ind w:firstLine="0" w:firstLineChars="0"/>
        <w:jc w:val="both"/>
        <w:rPr>
          <w:rFonts w:hint="eastAsia"/>
          <w:lang w:eastAsia="zh-CN"/>
        </w:rPr>
      </w:pPr>
      <w:r>
        <w:rPr>
          <w:rFonts w:hint="eastAsia"/>
          <w:lang w:eastAsia="zh-CN"/>
        </w:rPr>
        <w:t>1. 《区块链和分布式记账技术标准体系建设指南》：由工业和信息化部、中央网络安全和信息化委员会办公室、国家标准化管理委员会联合发布，旨在加强区块链标准工作顶层设计，促进区块链产业高质量发展。</w:t>
      </w:r>
    </w:p>
    <w:p>
      <w:pPr>
        <w:pStyle w:val="style0"/>
        <w:adjustRightInd/>
        <w:snapToGrid/>
        <w:spacing w:lineRule="auto" w:line="120"/>
        <w:ind w:firstLine="0" w:firstLineChars="0"/>
        <w:jc w:val="both"/>
        <w:rPr>
          <w:rFonts w:hint="eastAsia"/>
          <w:lang w:eastAsia="zh-CN"/>
        </w:rPr>
      </w:pPr>
      <w:r>
        <w:rPr>
          <w:rFonts w:hint="eastAsia"/>
          <w:lang w:eastAsia="zh-CN"/>
        </w:rPr>
        <w:t>2. 《关于加快推动区块链技术应用和产业发展的指导意见》：由工业和信息化部、中央网络安全和信息化委员会办公室联合发布，明确到2025年和2030年区块链产业发展目标，指明区块链产业发展重点任务和保障措施。</w:t>
      </w:r>
    </w:p>
    <w:p>
      <w:pPr>
        <w:pStyle w:val="style0"/>
        <w:adjustRightInd/>
        <w:snapToGrid/>
        <w:spacing w:lineRule="auto" w:line="120"/>
        <w:ind w:firstLine="0" w:firstLineChars="0"/>
        <w:jc w:val="both"/>
        <w:rPr>
          <w:rFonts w:hint="eastAsia"/>
          <w:lang w:eastAsia="zh-CN"/>
        </w:rPr>
      </w:pPr>
      <w:r>
        <w:rPr>
          <w:rFonts w:hint="eastAsia"/>
          <w:lang w:eastAsia="zh-CN"/>
        </w:rPr>
        <w:t>3. 《中国区块链创新应用发展报告（2023）》：由中央网信办信息化发展局指导，中央网信办数据与技术保障中心牵头编制，从顶层设计、技术应用、标准研制、生态建设等方面梳理了2023年我国区块链创新应用发展的总体情况。</w:t>
      </w:r>
    </w:p>
    <w:p>
      <w:pPr>
        <w:pStyle w:val="style0"/>
        <w:adjustRightInd/>
        <w:snapToGrid/>
        <w:spacing w:lineRule="auto" w:line="120"/>
        <w:ind w:firstLine="0" w:firstLineChars="0"/>
        <w:jc w:val="both"/>
        <w:rPr>
          <w:rFonts w:hint="eastAsia"/>
          <w:lang w:eastAsia="zh-CN"/>
        </w:rPr>
      </w:pPr>
      <w:r>
        <w:rPr>
          <w:rFonts w:hint="eastAsia"/>
          <w:lang w:eastAsia="zh-CN"/>
        </w:rPr>
        <w:t>4. 《中国区块链创新应用案例集（2023）》：由中央网信办数据与技术保障中心评选出66个区块链创新应用案例，为各地区、各行业深入推进区块链创新发展提供借鉴参考。</w:t>
      </w:r>
    </w:p>
    <w:p>
      <w:pPr>
        <w:pStyle w:val="style0"/>
        <w:adjustRightInd/>
        <w:snapToGrid/>
        <w:spacing w:lineRule="auto" w:line="120"/>
        <w:ind w:firstLine="0" w:firstLineChars="0"/>
        <w:jc w:val="both"/>
        <w:rPr>
          <w:rFonts w:hint="eastAsia"/>
          <w:lang w:eastAsia="zh-CN"/>
        </w:rPr>
      </w:pPr>
      <w:r>
        <w:rPr>
          <w:rFonts w:hint="eastAsia"/>
          <w:lang w:eastAsia="zh-CN"/>
        </w:rPr>
        <w:t>5. 国家区块链创新应用试点名单：由中央网信办等十六部门联合公布，旨在深入开展区块链创新应用工作，公布了15个综合性和164个特色领域国家区块链创新应用试点名单。</w:t>
      </w:r>
    </w:p>
    <w:p>
      <w:pPr>
        <w:pStyle w:val="style0"/>
        <w:adjustRightInd/>
        <w:snapToGrid/>
        <w:spacing w:lineRule="auto" w:line="120"/>
        <w:ind w:firstLine="0" w:firstLineChars="0"/>
        <w:jc w:val="both"/>
        <w:rPr/>
      </w:pPr>
    </w:p>
    <w:p>
      <w:pPr>
        <w:pStyle w:val="style0"/>
        <w:adjustRightInd/>
        <w:snapToGrid/>
        <w:spacing w:lineRule="auto" w:line="120"/>
        <w:ind w:firstLine="0" w:firstLineChars="0"/>
        <w:jc w:val="both"/>
        <w:rPr/>
      </w:pPr>
    </w:p>
    <w:p>
      <w:pPr>
        <w:pStyle w:val="style0"/>
        <w:adjustRightInd/>
        <w:snapToGrid/>
        <w:spacing w:lineRule="auto" w:line="120"/>
        <w:ind w:firstLine="0" w:firstLineChars="0"/>
        <w:jc w:val="both"/>
        <w:rPr/>
      </w:pPr>
    </w:p>
    <w:p>
      <w:pPr>
        <w:pStyle w:val="style0"/>
        <w:rPr/>
      </w:pPr>
    </w:p>
    <w:sectPr>
      <w:pgSz w:w="11906" w:h="16838" w:orient="portrait"/>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0020304"/>
    <w:charset w:val="00"/>
    <w:family w:val="roman"/>
    <w:pitch w:val="variable"/>
    <w:sig w:usb0="20007A87" w:usb1="80000000" w:usb2="00000008" w:usb3="00000000" w:csb0="000001FF" w:csb1="00000000"/>
  </w:font>
  <w:font w:name="宋体">
    <w:altName w:val="宋体"/>
    <w:panose1 w:val="02010600030000010101"/>
    <w:charset w:val="86"/>
    <w:family w:val="auto"/>
    <w:pitch w:val="default"/>
    <w:sig w:usb0="00000203" w:usb1="288F0000" w:usb2="00000006" w:usb3="00000000" w:csb0="00040001" w:csb1="00000000"/>
  </w:font>
  <w:font w:name="Wingdings">
    <w:altName w:val="Wingdings"/>
    <w:panose1 w:val="05000000000000000000"/>
    <w:charset w:val="02"/>
    <w:family w:val="auto"/>
    <w:pitch w:val="default"/>
    <w:sig w:usb0="00000000" w:usb1="00000000" w:usb2="00000000" w:usb3="00000000" w:csb0="80000000" w:csb1="00000000"/>
  </w:font>
  <w:font w:name="Arial">
    <w:altName w:val="Arial"/>
    <w:panose1 w:val="020b0604020000020204"/>
    <w:charset w:val="01"/>
    <w:family w:val="swiss"/>
    <w:pitch w:val="default"/>
    <w:sig w:usb0="E0002EFF" w:usb1="C000785B" w:usb2="00000009" w:usb3="00000000" w:csb0="400001FF" w:csb1="FFFF0000"/>
  </w:font>
  <w:font w:name="黑体">
    <w:altName w:val="黑体"/>
    <w:panose1 w:val="02010609060000010101"/>
    <w:charset w:val="86"/>
    <w:family w:val="auto"/>
    <w:pitch w:val="default"/>
    <w:sig w:usb0="800002BF" w:usb1="38CF7CFA" w:usb2="00000016" w:usb3="00000000" w:csb0="00040001" w:csb1="00000000"/>
  </w:font>
  <w:font w:name="Courier New">
    <w:altName w:val="Courier New"/>
    <w:panose1 w:val="02070309020000020404"/>
    <w:charset w:val="01"/>
    <w:family w:val="modern"/>
    <w:pitch w:val="default"/>
    <w:sig w:usb0="E0002EFF" w:usb1="C0007843" w:usb2="00000009" w:usb3="00000000" w:csb0="400001FF" w:csb1="FFFF0000"/>
  </w:font>
  <w:font w:name="Symbol">
    <w:altName w:val="Symbol"/>
    <w:panose1 w:val="05050102010000020507"/>
    <w:charset w:val="02"/>
    <w:family w:val="roman"/>
    <w:pitch w:val="default"/>
    <w:sig w:usb0="00000000" w:usb1="00000000" w:usb2="00000000" w:usb3="00000000" w:csb0="80000000" w:csb1="00000000"/>
  </w:font>
  <w:font w:name="Calibri">
    <w:altName w:val="Calibri"/>
    <w:panose1 w:val="020f0502020000030204"/>
    <w:charset w:val="00"/>
    <w:family w:val="swiss"/>
    <w:pitch w:val="default"/>
    <w:sig w:usb0="E0002EFF" w:usb1="C000247B" w:usb2="00000009" w:usb3="00000000" w:csb0="200001FF" w:csb1="00000000"/>
  </w:font>
  <w:font w:name="微软雅黑">
    <w:altName w:val="微软雅黑"/>
    <w:panose1 w:val="020b0503020000020204"/>
    <w:charset w:val="86"/>
    <w:family w:val="auto"/>
    <w:pitch w:val="default"/>
    <w:sig w:usb0="80000287" w:usb1="2ACF3C50" w:usb2="00000016" w:usb3="00000000" w:csb0="0004001F" w:csb1="00000000"/>
  </w:font>
  <w:font w:name="Tahoma">
    <w:altName w:val="Tahoma"/>
    <w:panose1 w:val="020b0604030000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00000000"/>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nsid w:val="00000001"/>
    <w:multiLevelType w:val="multilevel"/>
    <w:tmpl w:val="00000001"/>
    <w:lvl w:ilvl="0">
      <w:start w:val="2"/>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00000002"/>
    <w:multiLevelType w:val="multilevel"/>
    <w:tmpl w:val="00000002"/>
    <w:lvl w:ilvl="0">
      <w:start w:val="3"/>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nsid w:val="00000003"/>
    <w:multiLevelType w:val="multilevel"/>
    <w:tmpl w:val="00000003"/>
    <w:lvl w:ilvl="0">
      <w:start w:val="3"/>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nsid w:val="00000004"/>
    <w:multiLevelType w:val="multilevel"/>
    <w:tmpl w:val="00000004"/>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nsid w:val="00000005"/>
    <w:multiLevelType w:val="multilevel"/>
    <w:tmpl w:val="00000005"/>
    <w:lvl w:ilvl="0">
      <w:start w:val="2"/>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nsid w:val="00000006"/>
    <w:multiLevelType w:val="multilevel"/>
    <w:tmpl w:val="00000006"/>
    <w:lvl w:ilvl="0">
      <w:start w:val="4"/>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nsid w:val="00000007"/>
    <w:multiLevelType w:val="multilevel"/>
    <w:tmpl w:val="00000007"/>
    <w:lvl w:ilvl="0">
      <w:start w:val="5"/>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nsid w:val="00000008"/>
    <w:multiLevelType w:val="multilevel"/>
    <w:tmpl w:val="00000008"/>
    <w:lvl w:ilvl="0">
      <w:start w:val="6"/>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nsid w:val="00000009"/>
    <w:multiLevelType w:val="multilevel"/>
    <w:tmpl w:val="00000009"/>
    <w:lvl w:ilvl="0">
      <w:start w:val="7"/>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nsid w:val="0000000A"/>
    <w:multiLevelType w:val="multilevel"/>
    <w:tmpl w:val="0000000A"/>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nsid w:val="0000000B"/>
    <w:multiLevelType w:val="multilevel"/>
    <w:tmpl w:val="0000000B"/>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abstractNumId w:val="0"/>
  </w:num>
  <w:num w:numId="2">
    <w:abstractNumId w:val="1"/>
  </w:num>
  <w:num w:numId="3">
    <w:abstractNumId w:val="2"/>
  </w:num>
  <w:num w:numId="4">
    <w:abstractNumId w:val="11"/>
  </w:num>
  <w:num w:numId="5">
    <w:abstractNumId w:val="3"/>
  </w:num>
  <w:num w:numId="6">
    <w:abstractNumId w:val="4"/>
  </w:num>
  <w:num w:numId="7">
    <w:abstractNumId w:val="5"/>
  </w:num>
  <w:num w:numId="8">
    <w:abstractNumId w:val="6"/>
  </w:num>
  <w:num w:numId="9">
    <w:abstractNumId w:val="7"/>
  </w:num>
  <w:num w:numId="10">
    <w:abstractNumId w:val="8"/>
  </w:num>
  <w:num w:numId="11">
    <w:abstractNumId w:val="9"/>
  </w:num>
  <w:num w:numId="12">
    <w:abstractNumId w:val="1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bordersDoNotSurroundHeader/>
  <w:bordersDoNotSurroundFooter/>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1"/>
    <m:dispDef/>
    <m:lMargin m:val="0"/>
    <m:rMargin m:val="0"/>
    <m:defJc m:val="centerGroup"/>
    <m:wrapIndent m:val="1440"/>
    <m:intLim m:val="subSup"/>
    <m:naryLim m:val="undOvr"/>
  </m:mathPr>
  <w:themeFontLang w:val="en-US" w:bidi="ar-SA"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Arial" w:eastAsia="宋体" w:hAnsi="Calibri"/>
      </w:rPr>
    </w:rPrDefault>
    <w:pPrDefault>
      <w:pPr/>
    </w:pPrDefault>
  </w:docDefaults>
  <w:style w:type="paragraph" w:default="1" w:styleId="style0">
    <w:name w:val="Normal"/>
    <w:next w:val="style0"/>
    <w:qFormat/>
    <w:uiPriority w:val="0"/>
    <w:pPr>
      <w:widowControl w:val="false"/>
      <w:jc w:val="both"/>
    </w:pPr>
    <w:rPr>
      <w:rFonts w:ascii="Calibri" w:cs="Arial" w:eastAsia="宋体" w:hAnsi="Calibri"/>
      <w:kern w:val="2"/>
      <w:sz w:val="21"/>
      <w:szCs w:val="22"/>
      <w:lang w:val="en-US" w:bidi="ar-SA" w:eastAsia="zh-CN"/>
    </w:rPr>
  </w:style>
  <w:style w:type="paragraph" w:styleId="style1">
    <w:name w:val="heading 1"/>
    <w:basedOn w:val="style0"/>
    <w:next w:val="style0"/>
    <w:qFormat/>
    <w:uiPriority w:val="0"/>
    <w:pPr>
      <w:widowControl w:val="false"/>
      <w:adjustRightInd w:val="false"/>
      <w:spacing w:before="50" w:beforeLines="50" w:after="50" w:afterLines="50" w:lineRule="auto" w:line="360"/>
      <w:jc w:val="both"/>
      <w:outlineLvl w:val="0"/>
    </w:pPr>
    <w:rPr>
      <w:rFonts w:ascii="Times New Roman" w:cs="Times New Roman" w:eastAsia="黑体" w:hAnsi="Times New Roman"/>
      <w:b/>
      <w:color w:val="000000"/>
      <w:kern w:val="44"/>
      <w:sz w:val="32"/>
      <w:szCs w:val="44"/>
      <w:lang w:bidi="ar-SA"/>
    </w:rPr>
  </w:style>
  <w:style w:type="paragraph" w:styleId="style2">
    <w:name w:val="heading 2"/>
    <w:basedOn w:val="style0"/>
    <w:next w:val="style0"/>
    <w:qFormat/>
    <w:uiPriority w:val="0"/>
    <w:pPr>
      <w:widowControl w:val="false"/>
      <w:adjustRightInd w:val="false"/>
      <w:spacing w:before="50" w:beforeLines="50" w:after="50" w:afterLines="50" w:lineRule="auto" w:line="360"/>
      <w:jc w:val="both"/>
      <w:outlineLvl w:val="1"/>
    </w:pPr>
    <w:rPr>
      <w:rFonts w:ascii="Times New Roman" w:cs="Times New Roman" w:eastAsia="黑体" w:hAnsi="Times New Roman"/>
      <w:b/>
      <w:kern w:val="2"/>
      <w:sz w:val="30"/>
      <w:szCs w:val="32"/>
      <w:lang w:bidi="ar-SA"/>
    </w:rPr>
  </w:style>
  <w:style w:type="character" w:default="1" w:styleId="style65">
    <w:name w:val="Default Paragraph Font"/>
    <w:next w:val="style65"/>
    <w:uiPriority w:val="1"/>
  </w:style>
  <w:style w:type="table" w:default="1" w:styleId="style105">
    <w:name w:val="Normal Table"/>
    <w:next w:val="style105"/>
    <w:uiPriority w:val="99"/>
    <w:pPr/>
    <w:rPr/>
    <w:tblPr>
      <w:tblCellMar>
        <w:top w:w="0" w:type="dxa"/>
        <w:left w:w="108" w:type="dxa"/>
        <w:bottom w:w="0" w:type="dxa"/>
        <w:right w:w="108" w:type="dxa"/>
      </w:tblCellMar>
    </w:tblPr>
    <w:tcPr>
      <w:tcBorders/>
    </w:tcPr>
  </w:style>
  <w:style w:type="paragraph" w:styleId="style31">
    <w:name w:val="header"/>
    <w:basedOn w:val="style0"/>
    <w:next w:val="style31"/>
    <w:qFormat/>
    <w:uiPriority w:val="0"/>
    <w:pPr>
      <w:widowControl w:val="false"/>
      <w:spacing w:before="0" w:after="0"/>
      <w:ind w:left="0" w:right="0"/>
      <w:jc w:val="center"/>
    </w:pPr>
    <w:rPr>
      <w:rFonts w:ascii="Times New Roman" w:cs="Times New Roman" w:eastAsia="宋体" w:hAnsi="Times New Roman"/>
      <w:kern w:val="2"/>
      <w:sz w:val="18"/>
      <w:szCs w:val="22"/>
      <w:lang w:val="en-US" w:bidi="ar-SA" w:eastAsia="zh-CN"/>
    </w:rPr>
  </w:style>
  <w:style w:type="paragraph" w:styleId="style62">
    <w:name w:val="Title"/>
    <w:basedOn w:val="style0"/>
    <w:next w:val="style62"/>
    <w:qFormat/>
    <w:uiPriority w:val="0"/>
    <w:pPr>
      <w:widowControl w:val="false"/>
      <w:adjustRightInd w:val="false"/>
      <w:spacing w:before="50" w:beforeLines="50" w:beforeAutospacing="false" w:after="50" w:afterLines="50" w:afterAutospacing="false" w:lineRule="auto" w:line="360"/>
      <w:jc w:val="center"/>
      <w:outlineLvl w:val="0"/>
    </w:pPr>
    <w:rPr>
      <w:rFonts w:ascii="Arial" w:cs="Times New Roman" w:eastAsia="黑体" w:hAnsi="Arial"/>
      <w:b/>
      <w:kern w:val="2"/>
      <w:sz w:val="44"/>
      <w:szCs w:val="24"/>
      <w:lang w:bidi="ar-SA"/>
    </w:rPr>
  </w:style>
  <w:style w:type="paragraph" w:customStyle="1" w:styleId="style4097">
    <w:name w:val="AI正文"/>
    <w:basedOn w:val="style0"/>
    <w:next w:val="style0"/>
    <w:uiPriority w:val="0"/>
    <w:pPr>
      <w:widowControl w:val="false"/>
      <w:adjustRightInd w:val="false"/>
      <w:spacing w:lineRule="auto" w:line="360"/>
      <w:ind w:firstLine="1040" w:firstLineChars="200"/>
      <w:jc w:val="both"/>
    </w:pPr>
    <w:rPr>
      <w:rFonts w:ascii="Times New Roman" w:cs="Times New Roman" w:eastAsia="宋体" w:hAnsi="Times New Roman"/>
      <w:kern w:val="2"/>
      <w:sz w:val="24"/>
      <w:szCs w:val="24"/>
      <w:lang w:bidi="ar-SA"/>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1</TotalTime>
  <Words>4696</Words>
  <Characters>5023</Characters>
  <Application>WPS Office</Application>
  <Paragraphs>161</Paragraphs>
  <ScaleCrop>false</ScaleCrop>
  <LinksUpToDate>false</LinksUpToDate>
  <CharactersWithSpaces>5085</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2023-12-28T21:38:00Z</dcterms:created>
  <dc:creator>Redmi K30 Pro Zoom Edition</dc:creator>
  <lastModifiedBy>2311DRK48C</lastModifiedBy>
  <dcterms:modified xsi:type="dcterms:W3CDTF">2024-07-18T11:11:57Z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1187f0ffd23a4e93beb51a7cd76a5381_23</vt:lpwstr>
  </property>
  <property fmtid="{D5CDD505-2E9C-101B-9397-08002B2CF9AE}" pid="3" name="KSOProductBuildVer">
    <vt:lpwstr>2052-12.1.0.16120</vt:lpwstr>
  </property>
</Properties>
</file>