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r>
        <w:rPr>
          <w:rFonts w:hint="eastAsia"/>
          <w:lang w:eastAsia="zh-CN"/>
        </w:rPr>
        <w:t>尊敬的用户：</w:t>
      </w:r>
    </w:p>
    <w:p>
      <w:pPr>
        <w:pStyle w:val="style0"/>
        <w:rPr>
          <w:rFonts w:hint="eastAsia"/>
          <w:lang w:eastAsia="zh-CN"/>
        </w:rPr>
      </w:pPr>
      <w:r>
        <w:rPr>
          <w:rFonts w:hint="eastAsia"/>
          <w:lang w:eastAsia="zh-CN"/>
        </w:rPr>
        <w:t>在使用UtoDePIN服务之前，我们希望您能够充分理解并接受以下风险提示和免责声明。我们强烈建议您在继续使用我们的服务前，仔细阅读并理解以下内容。</w:t>
      </w:r>
    </w:p>
    <w:p>
      <w:pPr>
        <w:pStyle w:val="style0"/>
        <w:rPr>
          <w:rFonts w:hint="eastAsia"/>
          <w:lang w:eastAsia="zh-CN"/>
        </w:rPr>
      </w:pPr>
      <w:r>
        <w:rPr>
          <w:rFonts w:hint="eastAsia"/>
          <w:lang w:eastAsia="zh-CN"/>
        </w:rPr>
        <w:t>1. 禁止推广及其他用户购买代币风险：我们明确声明，禁止用户推广其他用户购买代币或手把手指导，这样会存在人民币穿透主流币的风险，可能涉及非法集资。根据《防范和处置非法集资条例》，非法集资是指未经国务院金融管理部门依法许可或者违反国家金融管理规定，以许诺还本付息或者给予其他投资回报等方式，向不特定对象吸收资金的行为。参与此类活动可能导致法律责任，UtoDePIN不承担任何由此引起的责任。同时，我们提醒您，使用USDT等加密货币进行交易可能存在一定的法律风险。我们无法保证这些交易完全符合您所在地区的法律法规。如果因此造成任何法律问题或非法集资的指控，UtoDePIN不承担任何责任。</w:t>
      </w:r>
    </w:p>
    <w:p>
      <w:pPr>
        <w:pStyle w:val="style0"/>
        <w:rPr>
          <w:rFonts w:hint="eastAsia"/>
          <w:lang w:eastAsia="zh-CN"/>
        </w:rPr>
      </w:pPr>
      <w:r>
        <w:rPr>
          <w:rFonts w:hint="eastAsia"/>
          <w:lang w:eastAsia="zh-CN"/>
        </w:rPr>
        <w:t>2. 黑客攻击风险：尽管我们采取了多种安全措施来保护您的资产安全，但任何在线服务都可能面临黑客攻击的风险。我们无法保证您的资产完全不受黑客攻击的影响。如果发生此类事件，导致您的资产损失，UtoDePIN不承担任何责任。</w:t>
      </w:r>
    </w:p>
    <w:p>
      <w:pPr>
        <w:pStyle w:val="style0"/>
        <w:rPr>
          <w:rFonts w:hint="eastAsia"/>
          <w:lang w:eastAsia="zh-CN"/>
        </w:rPr>
      </w:pPr>
      <w:r>
        <w:rPr>
          <w:rFonts w:hint="eastAsia"/>
          <w:lang w:eastAsia="zh-CN"/>
        </w:rPr>
        <w:t>3. 资产归零风险：在极端情况下，由于市场波动、技术故障或其他不可预见因素，您的资产可能面临归零的风险。UtoDePIN不保证您的资产安全，也不对此类风险造成的任何损失承担责任。</w:t>
      </w:r>
    </w:p>
    <w:p>
      <w:pPr>
        <w:pStyle w:val="style0"/>
        <w:rPr>
          <w:rFonts w:hint="eastAsia"/>
          <w:lang w:eastAsia="zh-CN"/>
        </w:rPr>
      </w:pPr>
      <w:r>
        <w:rPr>
          <w:rFonts w:hint="eastAsia"/>
          <w:lang w:eastAsia="zh-CN"/>
        </w:rPr>
        <w:t>4. 买入容差风险：在使用UtoDePIN服务时，可能会存在买入容差风险，导致您在交易过程中可能遭受亏损。我们无法保证交易的即时性和准确性，因此，任何由于市场波动、交易延迟等因素导致的亏损，UtoDePIN不承担任何责任。</w:t>
      </w:r>
    </w:p>
    <w:p>
      <w:pPr>
        <w:pStyle w:val="style0"/>
        <w:rPr>
          <w:rFonts w:hint="eastAsia"/>
          <w:lang w:eastAsia="zh-CN"/>
        </w:rPr>
      </w:pPr>
      <w:r>
        <w:rPr>
          <w:rFonts w:hint="eastAsia"/>
          <w:lang w:eastAsia="zh-CN"/>
        </w:rPr>
        <w:t>5. 手续费亏损风险：在使用UtoDePIN服务时，您可能需要支付一定的手续费。这些费用可能因交易量、市场条件等因素而异。我们无法保证您能够通过交易获得利润，因此，任何由于手续费导致的亏损，UtoDePIN不承担责任。</w:t>
      </w:r>
    </w:p>
    <w:p>
      <w:pPr>
        <w:pStyle w:val="style0"/>
        <w:rPr>
          <w:rFonts w:hint="eastAsia"/>
          <w:lang w:eastAsia="zh-CN"/>
        </w:rPr>
      </w:pPr>
      <w:r>
        <w:rPr>
          <w:rFonts w:hint="eastAsia"/>
          <w:lang w:eastAsia="zh-CN"/>
        </w:rPr>
        <w:t>6. Uto币风险：UtoDePIN引入了Uto币，该币种不依赖其他用户的购买或投资买卖。我们官方也不建议中国大陆用户购买Uto币。Uto币的价值是基于生产力价值产出就能兑现，即服务费。我们明确声明，UtoDePIN不提供任何形式的投资建议，也不对您的投资决策负责。您应自行承担所有使用UtoDePIN服务的风险，并对自己的投资行为负责。若您选择购买Uto币，请注意，任何由于您的交易或投资行为导致的损失，均与UtoDePIN无关。</w:t>
      </w:r>
    </w:p>
    <w:p>
      <w:pPr>
        <w:pStyle w:val="style0"/>
        <w:rPr>
          <w:rFonts w:hint="eastAsia"/>
          <w:lang w:eastAsia="zh-CN"/>
        </w:rPr>
      </w:pPr>
      <w:r>
        <w:rPr>
          <w:rFonts w:hint="eastAsia"/>
          <w:lang w:eastAsia="zh-CN"/>
        </w:rPr>
        <w:t>7. 自担风险：我们明确声明，UtoDePIN不提供任何形式的投资建议，也不对您的投资决策负责。您应自行承担所有使用UtoDePIN服务的风险，并对自己的投资行为负责。</w:t>
      </w:r>
    </w:p>
    <w:p>
      <w:pPr>
        <w:pStyle w:val="style0"/>
        <w:rPr>
          <w:rFonts w:hint="eastAsia"/>
          <w:lang w:eastAsia="zh-CN"/>
        </w:rPr>
      </w:pPr>
      <w:r>
        <w:rPr>
          <w:rFonts w:hint="eastAsia"/>
          <w:lang w:eastAsia="zh-CN"/>
        </w:rPr>
        <w:t>8. 与本项目无关：请注意，UtoDePIN是一个独立的服务提供商，我们不参与任何与您的交易或投资行为直接相关的活动。因此，任何由于您的交易或投资行为导致的损失，均与UtoDePIN无关。</w:t>
      </w:r>
    </w:p>
    <w:p>
      <w:pPr>
        <w:pStyle w:val="style0"/>
        <w:rPr>
          <w:rFonts w:hint="eastAsia"/>
          <w:lang w:eastAsia="zh-CN"/>
        </w:rPr>
      </w:pPr>
      <w:r>
        <w:rPr>
          <w:rFonts w:hint="eastAsia"/>
          <w:lang w:eastAsia="zh-CN"/>
        </w:rPr>
        <w:t>在继续使用UtoDePIN服务之前，我们建议您咨询专业的财务顾问，并确保您充分理解并接受上述风险。我们希望您在使用我们的服务时能够做出明智的决策，并对自己的行为负责。</w:t>
      </w:r>
    </w:p>
    <w:p>
      <w:pPr>
        <w:pStyle w:val="style0"/>
        <w:rPr>
          <w:rFonts w:hint="eastAsia"/>
          <w:lang w:eastAsia="zh-CN"/>
        </w:rPr>
      </w:pPr>
      <w:r>
        <w:rPr>
          <w:rFonts w:hint="eastAsia"/>
          <w:lang w:eastAsia="zh-CN"/>
        </w:rPr>
        <w:t>我已阅读此协议，我理解并接受上述风险，并愿意自行承担这些风险。</w:t>
      </w:r>
    </w:p>
    <w:p>
      <w:pPr>
        <w:pStyle w:val="style0"/>
        <w:rPr>
          <w:rFonts w:hint="eastAsia"/>
          <w:lang w:eastAsia="zh-CN"/>
        </w:rPr>
      </w:pPr>
      <w:r>
        <w:rPr>
          <w:rFonts w:hint="eastAsia"/>
          <w:lang w:eastAsia="zh-CN"/>
        </w:rPr>
        <w:t>用户签字：___________ 用户日期：___________ UtoDePIN团队 [日期]</w:t>
      </w:r>
    </w:p>
    <w:p>
      <w:pPr>
        <w:pStyle w:val="style0"/>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2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2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qFormat/>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Words>1161</Words>
  <Pages>1</Pages>
  <Characters>1335</Characters>
  <Application>WPS Office</Application>
  <DocSecurity>0</DocSecurity>
  <Paragraphs>14</Paragraphs>
  <ScaleCrop>false</ScaleCrop>
  <LinksUpToDate>false</LinksUpToDate>
  <CharactersWithSpaces>1346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2024-10-24T10:46:00Z</dcterms:created>
  <dc:creator>Administrator</dc:creator>
  <lastModifiedBy>2311DRK48C</lastModifiedBy>
  <dcterms:modified xsi:type="dcterms:W3CDTF">2024-10-29T10:02:31Z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CF61BC8D0733437D9FF4BA9C03898693_12</vt:lpwstr>
  </property>
</Properties>
</file>