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none"/>
          <w:right w:val="none"/>
          <w:insideH w:val="none"/>
          <w:insideV w:val="none"/>
        </w:tblBorders>
        <w:tblLayout w:type="fixed"/>
      </w:tblPr>
      <w:tblGrid>
        <w:gridCol w:w="11906"/>
      </w:tblGrid>
      <w:tr>
        <w:trPr>
          <w:trHeight w:val="16838" w:hRule="exact"/>
        </w:trPr>
        <w:tc>
          <w:tcPr>
            <w:tcBorders>
              <w:top w:val="none"/>
              <w:left w:val="none"/>
              <w:bottom w:val="none"/>
              <w:right w:val="none"/>
            </w:tcBorders>
            <w:shd w:fill="0A1410" w:val="clear"/>
          </w:tcPr>
          <w:p>
            <w:pPr>
              <w:spacing w:before="4299"/>
            </w:pPr>
          </w:p>
          <w:p>
            <w:pPr>
              <w:pBdr>
                <w:bottom w:val="single" w:color="34D399" w:sz="6" w:space="8"/>
              </w:pBdr>
              <w:spacing w:after="500"/>
              <w:ind w:left="1200" w:right="800"/>
            </w:pPr>
            <w:r>
              <w:rPr>
                <w:rFonts w:ascii="Calibri" w:eastAsia="SimHei"/>
                <w:color w:val="34D399"/>
                <w:spacing w:val="40"/>
                <w:sz w:val="18"/>
                <w:szCs w:val="18"/>
              </w:rPr>
              <w:t xml:space="preserve">S  H  I  E  L  D  E  A  R     S  Y  S  T  E  M     T  E  S  T     R  E  P  O  R  T</w:t>
            </w:r>
          </w:p>
          <w:p>
            <w:pPr>
              <w:spacing w:after="300" w:line="920" w:lineRule="atLeast"/>
              <w:ind w:left="1200"/>
            </w:pPr>
            <w:r>
              <w:rPr>
                <w:rFonts w:ascii="Arial" w:eastAsia="SimHei"/>
                <w:b/>
                <w:bCs/>
                <w:color w:val="E8F5EE"/>
                <w:sz w:val="80"/>
                <w:szCs w:val="80"/>
              </w:rPr>
              <w:t xml:space="preserve">声盾系统测试报告</w:t>
            </w:r>
          </w:p>
          <w:p>
            <w:pPr>
              <w:spacing w:after="800"/>
              <w:ind w:left="1200"/>
            </w:pPr>
            <w:r>
              <w:rPr>
                <w:rFonts w:ascii="Arial" w:eastAsia="Microsoft YaHei"/>
                <w:color w:val="9CC5AF"/>
                <w:sz w:val="24"/>
                <w:szCs w:val="24"/>
              </w:rPr>
              <w:t xml:space="preserve">面向AI语音诈骗的实时鉴伪反诈平台 · 全国大学生信息安全竞赛作品赛</w:t>
            </w:r>
          </w:p>
          <w:p>
            <w:pPr>
              <w:pBdr>
                <w:left w:val="single" w:color="34D399" w:sz="8" w:space="12"/>
              </w:pBdr>
              <w:spacing w:after="80"/>
              <w:ind w:left="1400"/>
            </w:pPr>
            <w:r>
              <w:rPr>
                <w:rFonts w:ascii="Arial" w:eastAsia="Microsoft YaHei"/>
                <w:color w:val="8FB8A3"/>
                <w:sz w:val="24"/>
                <w:szCs w:val="24"/>
              </w:rPr>
              <w:t xml:space="preserve">被测版本：ShieldEar v1.3.0-calibrated</w:t>
            </w:r>
          </w:p>
          <w:p>
            <w:pPr>
              <w:pBdr>
                <w:left w:val="single" w:color="34D399" w:sz="8" w:space="12"/>
              </w:pBdr>
              <w:spacing w:after="80"/>
              <w:ind w:left="1400"/>
            </w:pPr>
            <w:r>
              <w:rPr>
                <w:rFonts w:ascii="Arial" w:eastAsia="Microsoft YaHei"/>
                <w:color w:val="8FB8A3"/>
                <w:sz w:val="24"/>
                <w:szCs w:val="24"/>
              </w:rPr>
              <w:t xml:space="preserve">参赛队伍：你们说的对</w:t>
            </w:r>
          </w:p>
          <w:p>
            <w:pPr>
              <w:pBdr>
                <w:left w:val="single" w:color="34D399" w:sz="8" w:space="12"/>
              </w:pBdr>
              <w:spacing w:after="80"/>
              <w:ind w:left="1400"/>
            </w:pPr>
            <w:r>
              <w:rPr>
                <w:rFonts w:ascii="Arial" w:eastAsia="Microsoft YaHei"/>
                <w:color w:val="8FB8A3"/>
                <w:sz w:val="24"/>
                <w:szCs w:val="24"/>
              </w:rPr>
              <w:t xml:space="preserve">参赛单位：大连理工大学</w:t>
            </w:r>
          </w:p>
          <w:p>
            <w:pPr>
              <w:pBdr>
                <w:left w:val="single" w:color="34D399" w:sz="8" w:space="12"/>
              </w:pBdr>
              <w:spacing w:after="80"/>
              <w:ind w:left="1400"/>
            </w:pPr>
            <w:r>
              <w:rPr>
                <w:rFonts w:ascii="Arial" w:eastAsia="Microsoft YaHei"/>
                <w:color w:val="8FB8A3"/>
                <w:sz w:val="24"/>
                <w:szCs w:val="24"/>
              </w:rPr>
              <w:t xml:space="preserve">团队成员：谭畅 等 2 人</w:t>
            </w:r>
          </w:p>
          <w:p>
            <w:pPr>
              <w:pBdr>
                <w:left w:val="single" w:color="34D399" w:sz="8" w:space="12"/>
              </w:pBdr>
              <w:spacing w:after="80"/>
              <w:ind w:left="1400"/>
            </w:pPr>
            <w:r>
              <w:rPr>
                <w:rFonts w:ascii="Arial" w:eastAsia="Microsoft YaHei"/>
                <w:color w:val="8FB8A3"/>
                <w:sz w:val="24"/>
                <w:szCs w:val="24"/>
              </w:rPr>
              <w:t xml:space="preserve">开源仓库：github.com/43aquarius/ShieldEar</w:t>
            </w:r>
          </w:p>
          <w:p>
            <w:pPr>
              <w:pBdr>
                <w:left w:val="single" w:color="34D399" w:sz="8" w:space="12"/>
              </w:pBdr>
              <w:spacing w:after="80"/>
              <w:ind w:left="1400"/>
            </w:pPr>
            <w:r>
              <w:rPr>
                <w:rFonts w:ascii="Arial" w:eastAsia="Microsoft YaHei"/>
                <w:color w:val="8FB8A3"/>
                <w:sz w:val="24"/>
                <w:szCs w:val="24"/>
              </w:rPr>
              <w:t xml:space="preserve">测试日期：2026 年 10 月</w:t>
            </w:r>
          </w:p>
          <w:p>
            <w:pPr>
              <w:spacing w:before="4299"/>
            </w:pPr>
          </w:p>
          <w:p>
            <w:pPr>
              <w:pBdr>
                <w:top w:val="single" w:color="34D399" w:sz="2" w:space="8"/>
              </w:pBdr>
              <w:spacing w:before="200"/>
              <w:ind w:left="1200" w:right="800"/>
            </w:pPr>
            <w:r>
              <w:rPr>
                <w:rFonts w:ascii="Arial" w:eastAsia="Microsoft YaHei"/>
                <w:color w:val="5F8A75"/>
                <w:sz w:val="16"/>
                <w:szCs w:val="16"/>
              </w:rPr>
              <w:t xml:space="preserve">ShieldEar · Voice Anti-Fraud Platform</w:t>
            </w:r>
            <w:r>
              <w:t xml:space="preserve">                                        </w:t>
            </w:r>
            <w:r>
              <w:rPr>
                <w:rFonts w:ascii="Arial" w:eastAsia="Microsoft YaHei"/>
                <w:color w:val="5F8A75"/>
                <w:sz w:val="16"/>
                <w:szCs w:val="16"/>
              </w:rPr>
              <w:t xml:space="preserve">TEST-SUITE V1.0 · 2026.10</w:t>
            </w:r>
          </w:p>
        </w:tc>
      </w:tr>
    </w:tbl>
    <w:p>
      <w:pPr>
        <w:sectPr>
          <w:pgSz w:w="11906" w:h="16838" w:orient="portrait"/>
          <w:pgMar w:top="0" w:right="0" w:bottom="0" w:left="0" w:header="708" w:footer="708" w:gutter="0"/>
          <w:pgNumType/>
          <w:docGrid w:linePitch="360"/>
        </w:sectPr>
      </w:pPr>
    </w:p>
    <w:p>
      <w:pPr>
        <w:spacing w:after="300" w:before="240"/>
        <w:jc w:val="center"/>
      </w:pPr>
      <w:r>
        <w:rPr>
          <w:rFonts w:ascii="Times New Roman" w:eastAsia="SimHei"/>
          <w:b/>
          <w:bCs/>
          <w:sz w:val="32"/>
          <w:szCs w:val="32"/>
        </w:rPr>
        <w:t xml:space="preserve">摘  要</w:t>
      </w:r>
    </w:p>
    <w:p>
      <w:pPr>
        <w:spacing w:after="60" w:line="312"/>
        <w:ind w:firstLine="480"/>
        <w:jc w:val="both"/>
      </w:pPr>
      <w:r>
        <w:rPr>
          <w:rFonts w:ascii="Times New Roman" w:eastAsia="SimSun"/>
          <w:b w:val="false"/>
          <w:bCs w:val="false"/>
          <w:color w:val="1A2420"/>
          <w:sz w:val="24"/>
          <w:szCs w:val="24"/>
        </w:rPr>
        <w:t xml:space="preserve">本报告对「声盾 ShieldEar v1.3.0-calibrated」——面向 AI 语音诈骗的实时鉴伪反诈平台——完成了系统性测试。测试覆盖四个维度：检测性能、环境鲁棒性、实时性与端到端功能。核心方法是自研自动化测试套件对 105 个音频文件在宽带与 300–3400 Hz 电话窄带两种信道下执行 210 条判决，测试集包括自然人声原始样本、鲁棒性变体（±6 dB 增益、1.05 倍变速、20 dB 加噪、MP3 编解码）与神经 TTS 合成样本（7 音色）。</w:t>
      </w:r>
    </w:p>
    <w:p>
      <w:pPr>
        <w:spacing w:after="60" w:line="312"/>
        <w:ind w:firstLine="480"/>
        <w:jc w:val="both"/>
      </w:pPr>
      <w:r>
        <w:rPr>
          <w:rFonts w:ascii="Times New Roman" w:eastAsia="SimSun"/>
          <w:b w:val="false"/>
          <w:bCs w:val="false"/>
          <w:color w:val="1A2420"/>
          <w:sz w:val="24"/>
          <w:szCs w:val="24"/>
        </w:rPr>
        <w:t xml:space="preserve">主要结果：宽带信道准确率 87.6%、召回率 90.0%、F1 0.917；窄带信道准确率 74.3%、召回率 72.5%；两信道精确率均高于 0.92，检出即高可信。实时性方面，单窗（2 秒）分析时延 P99 为 9.15 毫秒，整段分析实时因子（RTF）中位数 0.0064、最大值 0.0118，距实时线两个数量级以上；端到端功能测试 8 个用例全部通过。报告同时诚实分析了已知边界：重压缩有声书样本的样本特异性误报、窄带叠加复合退化时的近阈值漏报，以及与深度集成模型的定位差距与后续路线。全部测试脚本、样本与逐条判决数据随代码库交付，结果完全可复现。</w:t>
      </w:r>
    </w:p>
    <w:p>
      <w:pPr>
        <w:spacing w:after="0" w:before="120"/>
      </w:pPr>
      <w:r>
        <w:rPr>
          <w:rFonts w:ascii="Times New Roman" w:eastAsia="SimSun"/>
          <w:b/>
          <w:bCs/>
          <w:color w:val="1A2420"/>
          <w:sz w:val="24"/>
          <w:szCs w:val="24"/>
        </w:rPr>
        <w:t xml:space="preserve">关键词：</w:t>
      </w:r>
      <w:r>
        <w:rPr>
          <w:rFonts w:ascii="Times New Roman" w:eastAsia="SimSun"/>
          <w:b w:val="false"/>
          <w:bCs w:val="false"/>
          <w:color w:val="1A2420"/>
          <w:sz w:val="24"/>
          <w:szCs w:val="24"/>
        </w:rPr>
        <w:t xml:space="preserve">AI 语音诈骗检测；实时流式鉴伪；鲁棒性测试；混淆矩阵；实时因子；端到端功能测试</w:t>
      </w:r>
    </w:p>
    <w:p>
      <w:pPr>
        <w:spacing w:after="360" w:before="480"/>
        <w:jc w:val="center"/>
      </w:pPr>
      <w:r>
        <w:rPr>
          <w:rFonts w:ascii="Times New Roman" w:eastAsia="SimHei"/>
          <w:b/>
          <w:bCs/>
          <w:sz w:val="32"/>
          <w:szCs w:val="32"/>
        </w:rPr>
        <w:t xml:space="preserve">目  录</w:t>
      </w:r>
    </w:p>
    <w:sdt>
      <w:sdtPr>
        <w:alias w:val="Table of Contents"/>
        <w:docPartObj>
          <w:docPartGallery w:val="Table of Contents"/>
          <w:docPartUnique/>
        </w:docPartObj>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第一章 测试概述</w:t>
            </w:r>
            <w:r>
              <w:tab/>
            </w:r>
            <w:r>
              <w:fldChar w:fldCharType="begin" w:dirty="true"/>
              <w:instrText xml:space="preserve">PAGEREF _Toc1 \h</w:instrText>
              <w:fldChar w:fldCharType="separate"/>
              <w:fldChar w:fldCharType="end"/>
            </w:r>
          </w:hyperlink>
        </w:p>
        <w:p>
          <w:pPr>
            <w:pStyle w:val="TOC1"/>
            <w:tabs>
              <w:tab w:val="right" w:leader="dot" w:pos="9026"/>
            </w:tabs>
            <w:spacing w:before="120" w:after="60"/>
          </w:pPr>
          <w:r>
            <w:t>第一章 测试概述</w:t>
          </w:r>
          <w:r>
            <w:tab/>
          </w:r>
          <w:r>
            <w:t>1</w:t>
          </w:r>
        </w:p>
        <w:p>
          <w:pPr>
            <w:pStyle w:val="TOC2"/>
            <w:ind w:left="360"/>
            <w:tabs>
              <w:tab w:val="right" w:leader="dot" w:pos="9026"/>
            </w:tabs>
            <w:spacing w:before="120" w:after="60"/>
          </w:pPr>
          <w:r>
            <w:t>1.1 测试目的与依据</w:t>
          </w:r>
          <w:r>
            <w:tab/>
          </w:r>
          <w:r>
            <w:t>2</w:t>
          </w:r>
        </w:p>
        <w:p>
          <w:pPr>
            <w:pStyle w:val="TOC2"/>
            <w:ind w:left="360"/>
            <w:tabs>
              <w:tab w:val="right" w:leader="dot" w:pos="9026"/>
            </w:tabs>
            <w:spacing w:before="120" w:after="60"/>
          </w:pPr>
          <w:r>
            <w:t>1.2 被测对象与版本</w:t>
          </w:r>
          <w:r>
            <w:tab/>
          </w:r>
          <w:r>
            <w:t>2</w:t>
          </w:r>
        </w:p>
        <w:p>
          <w:pPr>
            <w:pStyle w:val="TOC2"/>
            <w:ind w:left="360"/>
            <w:tabs>
              <w:tab w:val="right" w:leader="dot" w:pos="9026"/>
            </w:tabs>
            <w:spacing w:before="120" w:after="60"/>
          </w:pPr>
          <w:r>
            <w:t>1.3 测试范围与方法组织</w:t>
          </w:r>
          <w:r>
            <w:tab/>
          </w:r>
          <w:r>
            <w:t>2</w:t>
          </w:r>
        </w:p>
        <w:p>
          <w:pPr>
            <w:pStyle w:val="TOC1"/>
            <w:tabs>
              <w:tab w:val="right" w:leader="dot" w:pos="9026"/>
            </w:tabs>
            <w:spacing w:before="120" w:after="60"/>
          </w:pPr>
          <w:r>
            <w:t>第二章 测试环境与设备</w:t>
          </w:r>
          <w:r>
            <w:tab/>
          </w:r>
          <w:r>
            <w:t>2</w:t>
          </w:r>
        </w:p>
        <w:p>
          <w:pPr>
            <w:pStyle w:val="TOC2"/>
            <w:ind w:left="360"/>
            <w:tabs>
              <w:tab w:val="right" w:leader="dot" w:pos="9026"/>
            </w:tabs>
            <w:spacing w:before="120" w:after="60"/>
          </w:pPr>
          <w:r>
            <w:t>2.1 硬件环境</w:t>
          </w:r>
          <w:r>
            <w:tab/>
          </w:r>
          <w:r>
            <w:t>3</w:t>
          </w:r>
        </w:p>
        <w:p>
          <w:pPr>
            <w:pStyle w:val="TOC2"/>
            <w:ind w:left="360"/>
            <w:tabs>
              <w:tab w:val="right" w:leader="dot" w:pos="9026"/>
            </w:tabs>
            <w:spacing w:before="120" w:after="60"/>
          </w:pPr>
          <w:r>
            <w:t>2.2 软件环境</w:t>
          </w:r>
          <w:r>
            <w:tab/>
          </w:r>
          <w:r>
            <w:t>3</w:t>
          </w:r>
        </w:p>
        <w:p>
          <w:pPr>
            <w:pStyle w:val="TOC2"/>
            <w:ind w:left="360"/>
            <w:tabs>
              <w:tab w:val="right" w:leader="dot" w:pos="9026"/>
            </w:tabs>
            <w:spacing w:before="120" w:after="60"/>
          </w:pPr>
          <w:r>
            <w:t>2.3 测试工具与自动化套件</w:t>
          </w:r>
          <w:r>
            <w:tab/>
          </w:r>
          <w:r>
            <w:t>3</w:t>
          </w:r>
        </w:p>
        <w:p>
          <w:pPr>
            <w:pStyle w:val="TOC1"/>
            <w:tabs>
              <w:tab w:val="right" w:leader="dot" w:pos="9026"/>
            </w:tabs>
            <w:spacing w:before="120" w:after="60"/>
          </w:pPr>
          <w:r>
            <w:t>第三章 测试数据与用例设计</w:t>
          </w:r>
          <w:r>
            <w:tab/>
          </w:r>
          <w:r>
            <w:t>4</w:t>
          </w:r>
        </w:p>
        <w:p>
          <w:pPr>
            <w:pStyle w:val="TOC2"/>
            <w:ind w:left="360"/>
            <w:tabs>
              <w:tab w:val="right" w:leader="dot" w:pos="9026"/>
            </w:tabs>
            <w:spacing w:before="120" w:after="60"/>
          </w:pPr>
          <w:r>
            <w:t>3.1 测试数据集构成</w:t>
          </w:r>
          <w:r>
            <w:tab/>
          </w:r>
          <w:r>
            <w:t>4</w:t>
          </w:r>
        </w:p>
        <w:p>
          <w:pPr>
            <w:pStyle w:val="TOC2"/>
            <w:ind w:left="360"/>
            <w:tabs>
              <w:tab w:val="right" w:leader="dot" w:pos="9026"/>
            </w:tabs>
            <w:spacing w:before="120" w:after="60"/>
          </w:pPr>
          <w:r>
            <w:t>3.2 鲁棒性变体构造</w:t>
          </w:r>
          <w:r>
            <w:tab/>
          </w:r>
          <w:r>
            <w:t>4</w:t>
          </w:r>
        </w:p>
        <w:p>
          <w:pPr>
            <w:pStyle w:val="TOC2"/>
            <w:ind w:left="360"/>
            <w:tabs>
              <w:tab w:val="right" w:leader="dot" w:pos="9026"/>
            </w:tabs>
            <w:spacing w:before="120" w:after="60"/>
          </w:pPr>
          <w:r>
            <w:t>3.3 信道仿真与判决规则</w:t>
          </w:r>
          <w:r>
            <w:tab/>
          </w:r>
          <w:r>
            <w:t>5</w:t>
          </w:r>
        </w:p>
        <w:p>
          <w:pPr>
            <w:pStyle w:val="TOC2"/>
            <w:ind w:left="360"/>
            <w:tabs>
              <w:tab w:val="right" w:leader="dot" w:pos="9026"/>
            </w:tabs>
            <w:spacing w:before="120" w:after="60"/>
          </w:pPr>
          <w:r>
            <w:t>3.4 端到端功能用例设计</w:t>
          </w:r>
          <w:r>
            <w:tab/>
          </w:r>
          <w:r>
            <w:t>5</w:t>
          </w:r>
        </w:p>
        <w:p>
          <w:pPr>
            <w:pStyle w:val="TOC1"/>
            <w:tabs>
              <w:tab w:val="right" w:leader="dot" w:pos="9026"/>
            </w:tabs>
            <w:spacing w:before="120" w:after="60"/>
          </w:pPr>
          <w:r>
            <w:t>第四章 检测性能测试结果</w:t>
          </w:r>
          <w:r>
            <w:tab/>
          </w:r>
          <w:r>
            <w:t>5</w:t>
          </w:r>
        </w:p>
        <w:p>
          <w:pPr>
            <w:pStyle w:val="TOC2"/>
            <w:ind w:left="360"/>
            <w:tabs>
              <w:tab w:val="right" w:leader="dot" w:pos="9026"/>
            </w:tabs>
            <w:spacing w:before="120" w:after="60"/>
          </w:pPr>
          <w:r>
            <w:t>4.1 总体混淆矩阵与分信道指标</w:t>
          </w:r>
          <w:r>
            <w:tab/>
          </w:r>
          <w:r>
            <w:t>6</w:t>
          </w:r>
        </w:p>
        <w:p>
          <w:pPr>
            <w:pStyle w:val="TOC2"/>
            <w:ind w:left="360"/>
            <w:tabs>
              <w:tab w:val="right" w:leader="dot" w:pos="9026"/>
            </w:tabs>
            <w:spacing w:before="120" w:after="60"/>
          </w:pPr>
          <w:r>
            <w:t>4.2 分组判决结果</w:t>
          </w:r>
          <w:r>
            <w:tab/>
          </w:r>
          <w:r>
            <w:t>6</w:t>
          </w:r>
        </w:p>
        <w:p>
          <w:pPr>
            <w:pStyle w:val="TOC2"/>
            <w:ind w:left="360"/>
            <w:tabs>
              <w:tab w:val="right" w:leader="dot" w:pos="9026"/>
            </w:tabs>
            <w:spacing w:before="120" w:after="60"/>
          </w:pPr>
          <w:r>
            <w:t>4.3 判决分数分布与重叠带</w:t>
          </w:r>
          <w:r>
            <w:tab/>
          </w:r>
          <w:r>
            <w:t>7</w:t>
          </w:r>
        </w:p>
        <w:p>
          <w:pPr>
            <w:pStyle w:val="TOC2"/>
            <w:ind w:left="360"/>
            <w:tabs>
              <w:tab w:val="right" w:leader="dot" w:pos="9026"/>
            </w:tabs>
            <w:spacing w:before="120" w:after="60"/>
          </w:pPr>
          <w:r>
            <w:t>4.4 分音色检出表现</w:t>
          </w:r>
          <w:r>
            <w:tab/>
          </w:r>
          <w:r>
            <w:t>7</w:t>
          </w:r>
        </w:p>
        <w:p>
          <w:pPr>
            <w:pStyle w:val="TOC2"/>
            <w:ind w:left="360"/>
            <w:tabs>
              <w:tab w:val="right" w:leader="dot" w:pos="9026"/>
            </w:tabs>
            <w:spacing w:before="120" w:after="60"/>
          </w:pPr>
          <w:r>
            <w:t>4.5 特征有效性验证</w:t>
          </w:r>
          <w:r>
            <w:tab/>
          </w:r>
          <w:r>
            <w:t>8</w:t>
          </w:r>
        </w:p>
        <w:p>
          <w:pPr>
            <w:pStyle w:val="TOC1"/>
            <w:tabs>
              <w:tab w:val="right" w:leader="dot" w:pos="9026"/>
            </w:tabs>
            <w:spacing w:before="120" w:after="60"/>
          </w:pPr>
          <w:r>
            <w:t>第五章 鲁棒性测试结果</w:t>
          </w:r>
          <w:r>
            <w:tab/>
          </w:r>
          <w:r>
            <w:t>8</w:t>
          </w:r>
        </w:p>
        <w:p>
          <w:pPr>
            <w:pStyle w:val="TOC2"/>
            <w:ind w:left="360"/>
            <w:tabs>
              <w:tab w:val="right" w:leader="dot" w:pos="9026"/>
            </w:tabs>
            <w:spacing w:before="120" w:after="60"/>
          </w:pPr>
          <w:r>
            <w:t>5.1 抗误报鲁棒性（N2 组）</w:t>
          </w:r>
          <w:r>
            <w:tab/>
          </w:r>
          <w:r>
            <w:t>8</w:t>
          </w:r>
        </w:p>
        <w:p>
          <w:pPr>
            <w:pStyle w:val="TOC2"/>
            <w:ind w:left="360"/>
            <w:tabs>
              <w:tab w:val="right" w:leader="dot" w:pos="9026"/>
            </w:tabs>
            <w:spacing w:before="120" w:after="60"/>
          </w:pPr>
          <w:r>
            <w:t>5.2 检出鲁棒性（T3 组）</w:t>
          </w:r>
          <w:r>
            <w:tab/>
          </w:r>
          <w:r>
            <w:t>9</w:t>
          </w:r>
        </w:p>
        <w:p>
          <w:pPr>
            <w:pStyle w:val="TOC2"/>
            <w:ind w:left="360"/>
            <w:tabs>
              <w:tab w:val="right" w:leader="dot" w:pos="9026"/>
            </w:tabs>
            <w:spacing w:before="120" w:after="60"/>
          </w:pPr>
          <w:r>
            <w:t>5.3 信道退化影响分析</w:t>
          </w:r>
          <w:r>
            <w:tab/>
          </w:r>
          <w:r>
            <w:t>9</w:t>
          </w:r>
        </w:p>
        <w:p>
          <w:pPr>
            <w:pStyle w:val="TOC1"/>
            <w:tabs>
              <w:tab w:val="right" w:leader="dot" w:pos="9026"/>
            </w:tabs>
            <w:spacing w:before="120" w:after="60"/>
          </w:pPr>
          <w:r>
            <w:t>第六章 实时性测试结果</w:t>
          </w:r>
          <w:r>
            <w:tab/>
          </w:r>
          <w:r>
            <w:t>9</w:t>
          </w:r>
        </w:p>
        <w:p>
          <w:pPr>
            <w:pStyle w:val="TOC2"/>
            <w:ind w:left="360"/>
            <w:tabs>
              <w:tab w:val="right" w:leader="dot" w:pos="9026"/>
            </w:tabs>
            <w:spacing w:before="120" w:after="60"/>
          </w:pPr>
          <w:r>
            <w:t>6.1 单窗分析时延微基准</w:t>
          </w:r>
          <w:r>
            <w:tab/>
          </w:r>
          <w:r>
            <w:t>10</w:t>
          </w:r>
        </w:p>
        <w:p>
          <w:pPr>
            <w:pStyle w:val="TOC2"/>
            <w:ind w:left="360"/>
            <w:tabs>
              <w:tab w:val="right" w:leader="dot" w:pos="9026"/>
            </w:tabs>
            <w:spacing w:before="120" w:after="60"/>
          </w:pPr>
          <w:r>
            <w:t>6.2 整段分析实时因子（RTF）</w:t>
          </w:r>
          <w:r>
            <w:tab/>
          </w:r>
          <w:r>
            <w:t>10</w:t>
          </w:r>
        </w:p>
        <w:p>
          <w:pPr>
            <w:pStyle w:val="TOC2"/>
            <w:ind w:left="360"/>
            <w:tabs>
              <w:tab w:val="right" w:leader="dot" w:pos="9026"/>
            </w:tabs>
            <w:spacing w:before="120" w:after="60"/>
          </w:pPr>
          <w:r>
            <w:t>6.3 端到端判决时延预算论证</w:t>
          </w:r>
          <w:r>
            <w:tab/>
          </w:r>
          <w:r>
            <w:t>10</w:t>
          </w:r>
        </w:p>
        <w:p>
          <w:pPr>
            <w:pStyle w:val="TOC2"/>
            <w:ind w:left="360"/>
            <w:tabs>
              <w:tab w:val="right" w:leader="dot" w:pos="9026"/>
            </w:tabs>
            <w:spacing w:before="120" w:after="60"/>
          </w:pPr>
          <w:r>
            <w:t>6.4 吞吐与部署余量</w:t>
          </w:r>
          <w:r>
            <w:tab/>
          </w:r>
          <w:r>
            <w:t>11</w:t>
          </w:r>
        </w:p>
        <w:p>
          <w:pPr>
            <w:pStyle w:val="TOC1"/>
            <w:tabs>
              <w:tab w:val="right" w:leader="dot" w:pos="9026"/>
            </w:tabs>
            <w:spacing w:before="120" w:after="60"/>
          </w:pPr>
          <w:r>
            <w:t>第七章 端到端功能测试</w:t>
          </w:r>
          <w:r>
            <w:tab/>
          </w:r>
          <w:r>
            <w:t>11</w:t>
          </w:r>
        </w:p>
        <w:p>
          <w:pPr>
            <w:pStyle w:val="TOC2"/>
            <w:ind w:left="360"/>
            <w:tabs>
              <w:tab w:val="right" w:leader="dot" w:pos="9026"/>
            </w:tabs>
            <w:spacing w:before="120" w:after="60"/>
          </w:pPr>
          <w:r>
            <w:t>7.1 用例执行结果</w:t>
          </w:r>
          <w:r>
            <w:tab/>
          </w:r>
          <w:r>
            <w:t>11</w:t>
          </w:r>
        </w:p>
        <w:p>
          <w:pPr>
            <w:pStyle w:val="TOC2"/>
            <w:ind w:left="360"/>
            <w:tabs>
              <w:tab w:val="right" w:leader="dot" w:pos="9026"/>
            </w:tabs>
            <w:spacing w:before="120" w:after="60"/>
          </w:pPr>
          <w:r>
            <w:t>7.2 代码质量与运行稳定性</w:t>
          </w:r>
          <w:r>
            <w:tab/>
          </w:r>
          <w:r>
            <w:t>11</w:t>
          </w:r>
        </w:p>
        <w:p>
          <w:pPr>
            <w:pStyle w:val="TOC2"/>
            <w:ind w:left="360"/>
            <w:tabs>
              <w:tab w:val="right" w:leader="dot" w:pos="9026"/>
            </w:tabs>
            <w:spacing w:before="120" w:after="60"/>
          </w:pPr>
          <w:r>
            <w:t>7.3 演示动线完整性</w:t>
          </w:r>
          <w:r>
            <w:tab/>
          </w:r>
          <w:r>
            <w:t>12</w:t>
          </w:r>
        </w:p>
        <w:p>
          <w:pPr>
            <w:pStyle w:val="TOC2"/>
            <w:ind w:left="360"/>
            <w:tabs>
              <w:tab w:val="right" w:leader="dot" w:pos="9026"/>
            </w:tabs>
            <w:spacing w:before="120" w:after="60"/>
          </w:pPr>
          <w:r>
            <w:t>7.4 合成通道容错与四级降级验证</w:t>
          </w:r>
          <w:r>
            <w:tab/>
          </w:r>
          <w:r>
            <w:t>12</w:t>
          </w:r>
        </w:p>
        <w:p>
          <w:pPr>
            <w:pStyle w:val="TOC1"/>
            <w:tabs>
              <w:tab w:val="right" w:leader="dot" w:pos="9026"/>
            </w:tabs>
            <w:spacing w:before="120" w:after="60"/>
          </w:pPr>
          <w:r>
            <w:t>第八章 已知边界与诚实分析</w:t>
          </w:r>
          <w:r>
            <w:tab/>
          </w:r>
          <w:r>
            <w:t>12</w:t>
          </w:r>
        </w:p>
        <w:p>
          <w:pPr>
            <w:pStyle w:val="TOC2"/>
            <w:ind w:left="360"/>
            <w:tabs>
              <w:tab w:val="right" w:leader="dot" w:pos="9026"/>
            </w:tabs>
            <w:spacing w:before="120" w:after="60"/>
          </w:pPr>
          <w:r>
            <w:t>8.1 重压缩有声书样本的系统性误报</w:t>
          </w:r>
          <w:r>
            <w:tab/>
          </w:r>
          <w:r>
            <w:t>13</w:t>
          </w:r>
        </w:p>
        <w:p>
          <w:pPr>
            <w:pStyle w:val="TOC2"/>
            <w:ind w:left="360"/>
            <w:tabs>
              <w:tab w:val="right" w:leader="dot" w:pos="9026"/>
            </w:tabs>
            <w:spacing w:before="120" w:after="60"/>
          </w:pPr>
          <w:r>
            <w:t>8.2 近阈值漏报与复合退化短板</w:t>
          </w:r>
          <w:r>
            <w:tab/>
          </w:r>
          <w:r>
            <w:t>13</w:t>
          </w:r>
        </w:p>
        <w:p>
          <w:pPr>
            <w:pStyle w:val="TOC2"/>
            <w:ind w:left="360"/>
            <w:tabs>
              <w:tab w:val="right" w:leader="dot" w:pos="9026"/>
            </w:tabs>
            <w:spacing w:before="120" w:after="60"/>
          </w:pPr>
          <w:r>
            <w:t>8.3 与深度集成模型的定位差距</w:t>
          </w:r>
          <w:r>
            <w:tab/>
          </w:r>
          <w:r>
            <w:t>13</w:t>
          </w:r>
        </w:p>
        <w:p>
          <w:pPr>
            <w:pStyle w:val="TOC2"/>
            <w:ind w:left="360"/>
            <w:tabs>
              <w:tab w:val="right" w:leader="dot" w:pos="9026"/>
            </w:tabs>
            <w:spacing w:before="120" w:after="60"/>
          </w:pPr>
          <w:r>
            <w:t>8.4 测试集规模与覆盖面局限</w:t>
          </w:r>
          <w:r>
            <w:tab/>
          </w:r>
          <w:r>
            <w:t>13</w:t>
          </w:r>
        </w:p>
        <w:p>
          <w:pPr>
            <w:pStyle w:val="TOC1"/>
            <w:tabs>
              <w:tab w:val="right" w:leader="dot" w:pos="9026"/>
            </w:tabs>
            <w:spacing w:before="120" w:after="60"/>
          </w:pPr>
          <w:r>
            <w:t>第九章 测试结论</w:t>
          </w:r>
          <w:r>
            <w:tab/>
          </w:r>
          <w:r>
            <w:t>14</w:t>
          </w:r>
        </w:p>
        <w:p>
          <w:pPr>
            <w:pStyle w:val="TOC2"/>
            <w:ind w:left="360"/>
            <w:tabs>
              <w:tab w:val="right" w:leader="dot" w:pos="9026"/>
            </w:tabs>
            <w:spacing w:before="120" w:after="60"/>
          </w:pPr>
          <w:r>
            <w:t>9.1 设计指标达成情况</w:t>
          </w:r>
          <w:r>
            <w:tab/>
          </w:r>
          <w:r>
            <w:t>14</w:t>
          </w:r>
        </w:p>
        <w:p>
          <w:pPr>
            <w:pStyle w:val="TOC2"/>
            <w:ind w:left="360"/>
            <w:tabs>
              <w:tab w:val="right" w:leader="dot" w:pos="9026"/>
            </w:tabs>
            <w:spacing w:before="120" w:after="60"/>
          </w:pPr>
          <w:r>
            <w:t>9.2 实现功能与特色总结</w:t>
          </w:r>
          <w:r>
            <w:tab/>
          </w:r>
          <w:r>
            <w:t>14</w:t>
          </w:r>
        </w:p>
        <w:p>
          <w:pPr>
            <w:pStyle w:val="TOC2"/>
            <w:ind w:left="360"/>
            <w:tabs>
              <w:tab w:val="right" w:leader="dot" w:pos="9026"/>
            </w:tabs>
            <w:spacing w:before="120" w:after="60"/>
          </w:pPr>
          <w:r>
            <w:t>9.3 综合结论与后续改进</w:t>
          </w:r>
          <w:r>
            <w:tab/>
          </w:r>
          <w:r>
            <w:t>14</w:t>
          </w:r>
        </w:p>
        <w:p>
          <w:pPr>
            <w:pStyle w:val="TOC1"/>
            <w:tabs>
              <w:tab w:val="right" w:leader="dot" w:pos="9026"/>
            </w:tabs>
            <w:spacing w:before="120" w:after="60"/>
          </w:pPr>
          <w:r>
            <w:t>附录 A 分项测试数据汇总</w:t>
          </w:r>
          <w:r>
            <w:tab/>
          </w:r>
          <w:r>
            <w:t>15</w:t>
          </w:r>
        </w:p>
        <w:p>
          <w:pPr>
            <w:pStyle w:val="TOC1"/>
            <w:tabs>
              <w:tab w:val="right" w:leader="dot" w:pos="9026"/>
            </w:tabs>
            <w:spacing w:before="120" w:after="60"/>
          </w:pPr>
          <w:r>
            <w:t>附录 B 可复现性说明</w:t>
          </w:r>
          <w:r>
            <w:tab/>
          </w:r>
          <w:r>
            <w:t>15</w:t>
          </w:r>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注：本目录由域代码生成。编辑文档后，请在目录上点击右键并选择「更新域」以刷新页码。</w:t>
      </w:r>
    </w:p>
    <w:p>
      <w:pPr>
        <w:pStyle w:val="Heading1"/>
        <w:spacing w:after="160" w:before="360" w:line="380" w:lineRule="atLeast"/>
      </w:pPr>
      <w:bookmarkStart w:name="_Toc1" w:id="1"/>
      <w:r>
        <w:rPr>
          <w:rFonts w:ascii="Times New Roman" w:eastAsia="SimHei"/>
          <w:b/>
          <w:bCs/>
          <w:color w:val="0F2419"/>
          <w:sz w:val="32"/>
          <w:szCs w:val="32"/>
        </w:rPr>
        <w:t xml:space="preserve">第一章 测试概述</w:t>
      </w:r>
      <w:bookmarkEnd w:id="1"/>
    </w:p>
    <w:p>
      <w:pPr>
        <w:pStyle w:val="Heading2"/>
        <w:spacing w:after="120" w:before="260" w:line="350" w:lineRule="atLeast"/>
      </w:pPr>
      <w:bookmarkStart w:name="_Toc2" w:id="2"/>
      <w:r>
        <w:rPr>
          <w:rFonts w:ascii="Times New Roman" w:eastAsia="SimHei"/>
          <w:b/>
          <w:bCs/>
          <w:color w:val="0F2419"/>
          <w:sz w:val="30"/>
          <w:szCs w:val="30"/>
        </w:rPr>
        <w:t xml:space="preserve">1.1 测试目的与依据</w:t>
      </w:r>
      <w:bookmarkEnd w:id="2"/>
    </w:p>
    <w:p>
      <w:pPr>
        <w:spacing w:after="60" w:line="312"/>
        <w:ind w:firstLine="480"/>
        <w:jc w:val="both"/>
      </w:pPr>
      <w:r>
        <w:rPr>
          <w:rFonts w:ascii="Times New Roman" w:eastAsia="SimSun"/>
          <w:b w:val="false"/>
          <w:bCs w:val="false"/>
          <w:color w:val="1A2420"/>
          <w:sz w:val="24"/>
          <w:szCs w:val="24"/>
        </w:rPr>
        <w:t xml:space="preserve">本次测试的目的是验证声盾平台在检测准确性、环境鲁棒性、实时性与端到端功能四个维度上是否达到《声盾参赛技术报告》所载的设计指标，并为竞赛评审提供可复现的量化依据。依据包括两方面：一是技术报告第三章声明的技术指标（宽带检出率、判决时延、RTF 等）；二是作品赛对测试报告的内容要求，即测试设备、测试数据、结果分析、实现功能与特色五个要素。本报告章节结构与上述要求逐一对应：第二章阐述测试设备，第三章说明测试数据的构造方法，第四至六章展开结果与分析，第七章记录功能测试，第九章总结实现功能与特色。</w:t>
      </w:r>
    </w:p>
    <w:p>
      <w:pPr>
        <w:spacing w:after="60" w:line="312"/>
        <w:ind w:firstLine="480"/>
        <w:jc w:val="both"/>
      </w:pPr>
      <w:r>
        <w:rPr>
          <w:rFonts w:ascii="Times New Roman" w:eastAsia="SimSun"/>
          <w:b w:val="false"/>
          <w:bCs w:val="false"/>
          <w:color w:val="1A2420"/>
          <w:sz w:val="24"/>
          <w:szCs w:val="24"/>
        </w:rPr>
        <w:t xml:space="preserve">需要强调的方法论原则是真实性与可复现性：本报告引用的所有数值均来自实际执行的自动化测试套件输出，无任何人为估计或拄写；测试套件、样本文件与逐条判决明细（calibration/testsuite_results.json）均随代码库交付，评审可在同一环境下一键重跑全部结果。对于存在的局限（误报、漏报、测试集规模），本报告采取逐项暴露并分析成因，而非回避，这与历年获奖作品展示的实证风格一致。</w:t>
      </w:r>
    </w:p>
    <w:p>
      <w:pPr>
        <w:pStyle w:val="Heading2"/>
        <w:spacing w:after="120" w:before="260" w:line="350" w:lineRule="atLeast"/>
      </w:pPr>
      <w:bookmarkStart w:name="_Toc3" w:id="3"/>
      <w:r>
        <w:rPr>
          <w:rFonts w:ascii="Times New Roman" w:eastAsia="SimHei"/>
          <w:b/>
          <w:bCs/>
          <w:color w:val="0F2419"/>
          <w:sz w:val="30"/>
          <w:szCs w:val="30"/>
        </w:rPr>
        <w:t xml:space="preserve">1.2 被测对象与版本</w:t>
      </w:r>
      <w:bookmarkEnd w:id="3"/>
    </w:p>
    <w:p>
      <w:pPr>
        <w:spacing w:after="60" w:line="312"/>
        <w:ind w:firstLine="480"/>
        <w:jc w:val="both"/>
      </w:pPr>
      <w:r>
        <w:rPr>
          <w:rFonts w:ascii="Times New Roman" w:eastAsia="SimSun"/>
          <w:b w:val="false"/>
          <w:bCs w:val="false"/>
          <w:color w:val="1A2420"/>
          <w:sz w:val="24"/>
          <w:szCs w:val="24"/>
        </w:rPr>
        <w:t xml:space="preserve">被测对象为声盾 ShieldEar v1.3.0-calibrated 完整交付件，包括三个部分：其一是同构 TypeScript 检测引擎（src/lib/engine/，含 DSP、八维特征、校准权重与流式分析器），在浏览器与服务端运行完全相同的代码；其二是 Next.js 16 单页应用平台（实时鉴听、文件检测、现场合成挑战、案例库、核验报告）；其三是 Prisma/SQLite 存证库与 evidence/ 证据落盘机制。引擎关键参数为：16 kHz 采样率、2 秒滑动窗口、1 秒窗口步进（50% 重叠）、25 毫秒帧长与 15 毫秒帧移，风险分级阈值 MEDIUM 0.35、HIGH 0.55、CRITICAL 0.75。本次测试针对该版本固定的引擎权重与阈值执行，测试期内未做任何重新调参，以保证结果的可复现性。</w:t>
      </w:r>
    </w:p>
    <w:p>
      <w:pPr>
        <w:pStyle w:val="Heading2"/>
        <w:spacing w:after="120" w:before="260" w:line="350" w:lineRule="atLeast"/>
      </w:pPr>
      <w:bookmarkStart w:name="_Toc4" w:id="4"/>
      <w:r>
        <w:rPr>
          <w:rFonts w:ascii="Times New Roman" w:eastAsia="SimHei"/>
          <w:b/>
          <w:bCs/>
          <w:color w:val="0F2419"/>
          <w:sz w:val="30"/>
          <w:szCs w:val="30"/>
        </w:rPr>
        <w:t xml:space="preserve">1.3 测试范围与方法组织</w:t>
      </w:r>
      <w:bookmarkEnd w:id="4"/>
    </w:p>
    <w:p>
      <w:pPr>
        <w:spacing w:after="60" w:line="312"/>
        <w:ind w:firstLine="480"/>
        <w:jc w:val="both"/>
      </w:pPr>
      <w:r>
        <w:rPr>
          <w:rFonts w:ascii="Times New Roman" w:eastAsia="SimSun"/>
          <w:b w:val="false"/>
          <w:bCs w:val="false"/>
          <w:color w:val="1A2420"/>
          <w:sz w:val="24"/>
          <w:szCs w:val="24"/>
        </w:rPr>
        <w:t xml:space="preserve">测试分为四类。第一类是检测性能测试：对四个分组（N1 自然原始、N2 自然鲁棒性变体、T1 合成校准集、T3 合成退化变体）共 105 个音频文件在宽带与电话窄带两种信道下执行 210 条判决，输出混淆矩阵与准确率、精确率、召回率、F1 等指标。第二类是鲁棒性测试：通过增益、变速、加噪、MP3 编解码等现实扰动的变体样本，分别考察抗误报能力（N2 组）与检出鲁棒性（T3 组）。第三类是实时性测试：160 个 2 秒窗口的分析时延微基准与 210 条整段分析的 RTF 统计。第四类是端到端功能测试：使用无头浏览器对 Web 平台的完整用户动线执行 8 个用例的自动化验证。四类测试的执行顺序、数据构造与判定规则在第三章详细展开。</w:t>
      </w:r>
    </w:p>
    <w:p>
      <w:pPr>
        <w:pStyle w:val="Heading1"/>
        <w:spacing w:after="160" w:before="360" w:line="380" w:lineRule="atLeast"/>
      </w:pPr>
      <w:bookmarkStart w:name="_Toc5" w:id="5"/>
      <w:r>
        <w:rPr>
          <w:rFonts w:ascii="Times New Roman" w:eastAsia="SimHei"/>
          <w:b/>
          <w:bCs/>
          <w:color w:val="0F2419"/>
          <w:sz w:val="32"/>
          <w:szCs w:val="32"/>
        </w:rPr>
        <w:t xml:space="preserve">第二章 测试环境与设备</w:t>
      </w:r>
      <w:bookmarkEnd w:id="5"/>
    </w:p>
    <w:p>
      <w:pPr>
        <w:pStyle w:val="Heading2"/>
        <w:spacing w:after="120" w:before="260" w:line="350" w:lineRule="atLeast"/>
      </w:pPr>
      <w:bookmarkStart w:name="_Toc6" w:id="6"/>
      <w:r>
        <w:rPr>
          <w:rFonts w:ascii="Times New Roman" w:eastAsia="SimHei"/>
          <w:b/>
          <w:bCs/>
          <w:color w:val="0F2419"/>
          <w:sz w:val="30"/>
          <w:szCs w:val="30"/>
        </w:rPr>
        <w:t xml:space="preserve">2.1 硬件环境</w:t>
      </w:r>
      <w:bookmarkEnd w:id="6"/>
    </w:p>
    <w:p>
      <w:pPr>
        <w:spacing w:after="60" w:line="312"/>
        <w:ind w:firstLine="480"/>
        <w:jc w:val="both"/>
      </w:pPr>
      <w:r>
        <w:rPr>
          <w:rFonts w:ascii="Times New Roman" w:eastAsia="SimSun"/>
          <w:b w:val="false"/>
          <w:bCs w:val="false"/>
          <w:color w:val="1A2420"/>
          <w:sz w:val="24"/>
          <w:szCs w:val="24"/>
        </w:rPr>
        <w:t xml:space="preserve">测试硬件环境为云主机容器，具体配置见表 2-1。需要特别说明的是，该环境未配备 GPU 或任何推理加速器，检测引擎的全部计算均在纯 CPU 上完成——这不是环境限制，而是刻意保留的验证条件：声盾的轻量引擎定位即面向普通终端与低算力部署场景，若在无 GPU 环境下即可达到毫秒级处理，则在任何真实手机与服务器上的可行性均有保障。内存为 4 GB 的配置同样接近主流入门手机的可用内存上限，对于验证浏览器端实时鉴听的可行性具有代表意义。</w:t>
      </w:r>
    </w:p>
    <w:p>
      <w:pPr>
        <w:keepNext/>
        <w:spacing w:after="80" w:before="200"/>
        <w:jc w:val="center"/>
      </w:pPr>
      <w:r>
        <w:rPr>
          <w:rFonts w:ascii="Times New Roman" w:eastAsia="SimHei"/>
          <w:b/>
          <w:bCs/>
          <w:color w:val="1A2420"/>
          <w:sz w:val="21"/>
          <w:szCs w:val="21"/>
        </w:rPr>
        <w:t xml:space="preserve">表 2-1 硬件环境清单</w:t>
      </w:r>
    </w:p>
    <w:tbl>
      <w:tblPr>
        <w:tblW w:type="pct" w:w="5000"/>
        <w:tblBorders>
          <w:top w:val="single" w:color="9CC5AF" w:sz="4"/>
          <w:left w:val="none"/>
          <w:bottom w:val="single" w:color="9CC5AF" w:sz="4"/>
          <w:right w:val="none"/>
          <w:insideH w:val="single" w:color="D5E5DC" w:sz="2"/>
          <w:insideV w:val="single" w:color="D5E5DC" w:sz="2"/>
        </w:tblBorders>
      </w:tblPr>
      <w:tblGrid>
        <w:gridCol w:w="1933"/>
        <w:gridCol w:w="3515"/>
        <w:gridCol w:w="3339"/>
      </w:tblGrid>
      <w:tr>
        <w:trPr>
          <w:cantSplit/>
          <w:tblHeader/>
        </w:trPr>
        <w:tc>
          <w:tcPr>
            <w:tcW w:type="pct" w:w="11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设备项目</w:t>
            </w:r>
          </w:p>
        </w:tc>
        <w:tc>
          <w:tcPr>
            <w:tcW w:type="pct" w:w="20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配置</w:t>
            </w:r>
          </w:p>
        </w:tc>
        <w:tc>
          <w:tcPr>
            <w:tcW w:type="pct" w:w="19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备注</w:t>
            </w:r>
          </w:p>
        </w:tc>
      </w:tr>
      <w:tr>
        <w:trPr>
          <w:cantSplit/>
        </w:trPr>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处理器</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Intel Xeon（2 核）</w:t>
            </w:r>
          </w:p>
        </w:tc>
        <w:tc>
          <w:tcPr>
            <w:tcW w:type="pct" w:w="1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纯 CPU，无 GPU / NPU / 推理加速器</w:t>
            </w:r>
          </w:p>
        </w:tc>
      </w:tr>
      <w:tr>
        <w:trPr>
          <w:cantSplit/>
        </w:trPr>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内存</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4.1 GB</w:t>
            </w:r>
          </w:p>
        </w:tc>
        <w:tc>
          <w:tcPr>
            <w:tcW w:type="pct" w:w="1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接近入门手机可用内存上限</w:t>
            </w:r>
          </w:p>
        </w:tc>
      </w:tr>
      <w:tr>
        <w:trPr>
          <w:cantSplit/>
        </w:trPr>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操作系统</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Debian GNU/Linux 13（trixie）</w:t>
            </w:r>
          </w:p>
        </w:tc>
        <w:tc>
          <w:tcPr>
            <w:tcW w:type="pct" w:w="1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内核 5.10 x86_64</w:t>
            </w:r>
          </w:p>
        </w:tc>
      </w:tr>
      <w:tr>
        <w:trPr>
          <w:cantSplit/>
        </w:trPr>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网络</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容器内网</w:t>
            </w:r>
          </w:p>
        </w:tc>
        <w:tc>
          <w:tcPr>
            <w:tcW w:type="pct" w:w="1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测试期内无外部依赖（全部本地执行）</w:t>
            </w:r>
          </w:p>
        </w:tc>
      </w:tr>
    </w:tbl>
    <w:p>
      <w:pPr>
        <w:spacing w:after="160" w:before="40" w:line="280"/>
        <w:jc w:val="left"/>
      </w:pPr>
      <w:r>
        <w:rPr>
          <w:rFonts w:ascii="Times New Roman" w:eastAsia="SimSun"/>
          <w:color w:val="5C6E64"/>
          <w:sz w:val="18"/>
          <w:szCs w:val="18"/>
        </w:rPr>
        <w:t xml:space="preserve">注：检测性能、鲁棒性与实时性测试均在上表环境内完成；端到端功能测试另使用无头 Chromium 浏览器模拟用户操作。</w:t>
      </w:r>
    </w:p>
    <w:p>
      <w:pPr>
        <w:pStyle w:val="Heading2"/>
        <w:spacing w:after="120" w:before="260" w:line="350" w:lineRule="atLeast"/>
      </w:pPr>
      <w:bookmarkStart w:name="_Toc7" w:id="7"/>
      <w:r>
        <w:rPr>
          <w:rFonts w:ascii="Times New Roman" w:eastAsia="SimHei"/>
          <w:b/>
          <w:bCs/>
          <w:color w:val="0F2419"/>
          <w:sz w:val="30"/>
          <w:szCs w:val="30"/>
        </w:rPr>
        <w:t xml:space="preserve">2.2 软件环境</w:t>
      </w:r>
      <w:bookmarkEnd w:id="7"/>
    </w:p>
    <w:p>
      <w:pPr>
        <w:spacing w:after="60" w:line="312"/>
        <w:ind w:firstLine="480"/>
        <w:jc w:val="both"/>
      </w:pPr>
      <w:r>
        <w:rPr>
          <w:rFonts w:ascii="Times New Roman" w:eastAsia="SimSun"/>
          <w:b w:val="false"/>
          <w:bCs w:val="false"/>
          <w:color w:val="1A2420"/>
          <w:sz w:val="24"/>
          <w:szCs w:val="24"/>
        </w:rPr>
        <w:t xml:space="preserve">软件环境见表 2-2。被测平台基于 Next.js 16 与 React 19 构建，服务端运行时为 Node.js v24；检测引擎为纯 TypeScript 实现，除浏览器内建 Web Audio API 外无任何第三方机器学习依赖。测试期内使用 FFmpeg 7.1 构造 MP3 编解码变体（模拟语音消息压缩链路），使用无头 Chromium 执行端到端用例验证。</w:t>
      </w:r>
    </w:p>
    <w:p>
      <w:pPr>
        <w:keepNext/>
        <w:spacing w:after="80" w:before="200"/>
        <w:jc w:val="center"/>
      </w:pPr>
      <w:r>
        <w:rPr>
          <w:rFonts w:ascii="Times New Roman" w:eastAsia="SimHei"/>
          <w:b/>
          <w:bCs/>
          <w:color w:val="1A2420"/>
          <w:sz w:val="21"/>
          <w:szCs w:val="21"/>
        </w:rPr>
        <w:t xml:space="preserve">表 2-2 软件环境清单</w:t>
      </w:r>
    </w:p>
    <w:tbl>
      <w:tblPr>
        <w:tblW w:type="pct" w:w="5000"/>
        <w:tblBorders>
          <w:top w:val="single" w:color="9CC5AF" w:sz="4"/>
          <w:left w:val="none"/>
          <w:bottom w:val="single" w:color="9CC5AF" w:sz="4"/>
          <w:right w:val="none"/>
          <w:insideH w:val="single" w:color="D5E5DC" w:sz="2"/>
          <w:insideV w:val="single" w:color="D5E5DC" w:sz="2"/>
        </w:tblBorders>
      </w:tblPr>
      <w:tblGrid>
        <w:gridCol w:w="2285"/>
        <w:gridCol w:w="2812"/>
        <w:gridCol w:w="3691"/>
      </w:tblGrid>
      <w:tr>
        <w:trPr>
          <w:cantSplit/>
          <w:tblHeader/>
        </w:trPr>
        <w:tc>
          <w:tcPr>
            <w:tcW w:type="pct" w:w="13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组件</w:t>
            </w:r>
          </w:p>
        </w:tc>
        <w:tc>
          <w:tcPr>
            <w:tcW w:type="pct" w:w="16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版本</w:t>
            </w:r>
          </w:p>
        </w:tc>
        <w:tc>
          <w:tcPr>
            <w:tcW w:type="pct" w:w="21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用途</w:t>
            </w:r>
          </w:p>
        </w:tc>
      </w:tr>
      <w:tr>
        <w:trPr>
          <w:cantSplit/>
        </w:trPr>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Node.js</w:t>
            </w:r>
          </w:p>
        </w:tc>
        <w:tc>
          <w:tcPr>
            <w:tcW w:type="pct" w:w="1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v24.22.1</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服务端运行时与测试套件执行</w:t>
            </w:r>
          </w:p>
        </w:tc>
      </w:tr>
      <w:tr>
        <w:trPr>
          <w:cantSplit/>
        </w:trPr>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bun</w:t>
            </w:r>
          </w:p>
        </w:tc>
        <w:tc>
          <w:tcPr>
            <w:tcW w:type="pct" w:w="1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1.3.14</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脚本运行器</w:t>
            </w:r>
          </w:p>
        </w:tc>
      </w:tr>
      <w:tr>
        <w:trPr>
          <w:cantSplit/>
        </w:trPr>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Next.js / React</w:t>
            </w:r>
          </w:p>
        </w:tc>
        <w:tc>
          <w:tcPr>
            <w:tcW w:type="pct" w:w="1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16 / 19</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被测 Web 平台框架</w:t>
            </w:r>
          </w:p>
        </w:tc>
      </w:tr>
      <w:tr>
        <w:trPr>
          <w:cantSplit/>
        </w:trPr>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Prisma / SQLite</w:t>
            </w:r>
          </w:p>
        </w:tc>
        <w:tc>
          <w:tcPr>
            <w:tcW w:type="pct" w:w="1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6.x / 3</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存证库与案例 API</w:t>
            </w:r>
          </w:p>
        </w:tc>
      </w:tr>
      <w:tr>
        <w:trPr>
          <w:cantSplit/>
        </w:trPr>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Chromium（无头）</w:t>
            </w:r>
          </w:p>
        </w:tc>
        <w:tc>
          <w:tcPr>
            <w:tcW w:type="pct" w:w="1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随 agent-browser 版本</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端到端功能测试</w:t>
            </w:r>
          </w:p>
        </w:tc>
      </w:tr>
      <w:tr>
        <w:trPr>
          <w:cantSplit/>
        </w:trPr>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FFmpeg</w:t>
            </w:r>
          </w:p>
        </w:tc>
        <w:tc>
          <w:tcPr>
            <w:tcW w:type="pct" w:w="1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7.1.5</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MP3 编解码变体构造</w:t>
            </w:r>
          </w:p>
        </w:tc>
      </w:tr>
      <w:tr>
        <w:trPr>
          <w:cantSplit/>
        </w:trPr>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ESLint</w:t>
            </w:r>
          </w:p>
        </w:tc>
        <w:tc>
          <w:tcPr>
            <w:tcW w:type="pct" w:w="1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配置于项目</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代码质量静态检查</w:t>
            </w:r>
          </w:p>
        </w:tc>
      </w:tr>
    </w:tbl>
    <w:p>
      <w:pPr>
        <w:pStyle w:val="Heading2"/>
        <w:spacing w:after="120" w:before="260" w:line="350" w:lineRule="atLeast"/>
      </w:pPr>
      <w:bookmarkStart w:name="_Toc8" w:id="8"/>
      <w:r>
        <w:rPr>
          <w:rFonts w:ascii="Times New Roman" w:eastAsia="SimHei"/>
          <w:b/>
          <w:bCs/>
          <w:color w:val="0F2419"/>
          <w:sz w:val="30"/>
          <w:szCs w:val="30"/>
        </w:rPr>
        <w:t xml:space="preserve">2.3 测试工具与自动化套件</w:t>
      </w:r>
      <w:bookmarkEnd w:id="8"/>
    </w:p>
    <w:p>
      <w:pPr>
        <w:spacing w:after="60" w:line="312"/>
        <w:ind w:firstLine="480"/>
        <w:jc w:val="both"/>
      </w:pPr>
      <w:r>
        <w:rPr>
          <w:rFonts w:ascii="Times New Roman" w:eastAsia="SimSun"/>
          <w:b w:val="false"/>
          <w:bCs w:val="false"/>
          <w:color w:val="1A2420"/>
          <w:sz w:val="24"/>
          <w:szCs w:val="24"/>
        </w:rPr>
        <w:t xml:space="preserve">测试的核心工具是随代码库交付的自研自动化测试套件，由四个脚本组成一条可复现的测试管线：scripts/gen-natural-variants.ts 生成自然语音鲁棒性变体；scripts/gen-tts-variants.ts 生成合成语音退化变体（含 FFmpeg MP3 编解码往返）；scripts/run-testsuite.ts 执行全量评测并输出逐条判决与汇总指标（含 160 窗微基准）；scripts/gen-test-figures.py 生成本报告全部图表。所有随机因子均使用固定种子（变体生成种子 20261027，信道仿真种子 42），保证变体构造与信道退化在任何机器上重跑得到完全一致的测试集与结果。此外，端到端功能测试使用 agent-browser 无头浏览器框架驱动真实页面交互，并以控制台零 JavaScript 错误作为通过条件之一。</w:t>
      </w:r>
    </w:p>
    <w:p>
      <w:pPr>
        <w:pStyle w:val="Heading1"/>
        <w:spacing w:after="160" w:before="360" w:line="380" w:lineRule="atLeast"/>
      </w:pPr>
      <w:bookmarkStart w:name="_Toc9" w:id="9"/>
      <w:r>
        <w:rPr>
          <w:rFonts w:ascii="Times New Roman" w:eastAsia="SimHei"/>
          <w:b/>
          <w:bCs/>
          <w:color w:val="0F2419"/>
          <w:sz w:val="32"/>
          <w:szCs w:val="32"/>
        </w:rPr>
        <w:t xml:space="preserve">第三章 测试数据与用例设计</w:t>
      </w:r>
      <w:bookmarkEnd w:id="9"/>
    </w:p>
    <w:p>
      <w:pPr>
        <w:pStyle w:val="Heading2"/>
        <w:spacing w:after="120" w:before="260" w:line="350" w:lineRule="atLeast"/>
      </w:pPr>
      <w:bookmarkStart w:name="_Toc10" w:id="10"/>
      <w:r>
        <w:rPr>
          <w:rFonts w:ascii="Times New Roman" w:eastAsia="SimHei"/>
          <w:b/>
          <w:bCs/>
          <w:color w:val="0F2419"/>
          <w:sz w:val="30"/>
          <w:szCs w:val="30"/>
        </w:rPr>
        <w:t xml:space="preserve">3.1 测试数据集构成</w:t>
      </w:r>
      <w:bookmarkEnd w:id="10"/>
    </w:p>
    <w:p>
      <w:pPr>
        <w:spacing w:after="60" w:line="312"/>
        <w:ind w:firstLine="480"/>
        <w:jc w:val="both"/>
      </w:pPr>
      <w:r>
        <w:rPr>
          <w:rFonts w:ascii="Times New Roman" w:eastAsia="SimSun"/>
          <w:b w:val="false"/>
          <w:bCs w:val="false"/>
          <w:color w:val="1A2420"/>
          <w:sz w:val="24"/>
          <w:szCs w:val="24"/>
        </w:rPr>
        <w:t xml:space="preserve">测试数据分为自然人声与神经合成语音两大类。自然类（N1 组）共 5 段，取自 wavesurfer.js 与 MDN 公开演示人声及公有领域有声书（LibriVox），经 jsdelivr 拉取并统一重采样至 16 kHz；合成类（T1 组）共 20 段，由 z-ai 神经 TTS 以 7 个音色各合成 3 条文本（亲属紧急求助诈骗话术、会议通知、英文演示语句），其中 xiaochen 音色成功生成 2 条，其余 6 个音色各 3 条。该 20 段合成样本同时也是引擎权重拟合的校准集，因此 T1 组的检出结果属于校准集内表现；为考察泛化能力，测试套件另预留了文本级不相交的独立合成测试集分组（T2，同 7 音色× 3 条新文本），因样本生成通道在测试期内不可用，本轮结果未纳入，待样本就绣后可一键补测。各分组构成见表 3-1。</w:t>
      </w:r>
    </w:p>
    <w:p>
      <w:pPr>
        <w:keepNext/>
        <w:spacing w:after="80" w:before="200"/>
        <w:jc w:val="center"/>
      </w:pPr>
      <w:r>
        <w:rPr>
          <w:rFonts w:ascii="Times New Roman" w:eastAsia="SimHei"/>
          <w:b/>
          <w:bCs/>
          <w:color w:val="1A2420"/>
          <w:sz w:val="21"/>
          <w:szCs w:val="21"/>
        </w:rPr>
        <w:t xml:space="preserve">表 3-1 测试数据集构成</w:t>
      </w:r>
    </w:p>
    <w:tbl>
      <w:tblPr>
        <w:tblW w:type="pct" w:w="5000"/>
        <w:tblBorders>
          <w:top w:val="single" w:color="9CC5AF" w:sz="4"/>
          <w:left w:val="none"/>
          <w:bottom w:val="single" w:color="9CC5AF" w:sz="4"/>
          <w:right w:val="none"/>
          <w:insideH w:val="single" w:color="D5E5DC" w:sz="2"/>
          <w:insideV w:val="single" w:color="D5E5DC" w:sz="2"/>
        </w:tblBorders>
      </w:tblPr>
      <w:tblGrid>
        <w:gridCol w:w="1494"/>
        <w:gridCol w:w="3252"/>
        <w:gridCol w:w="1758"/>
        <w:gridCol w:w="2285"/>
      </w:tblGrid>
      <w:tr>
        <w:trPr>
          <w:cantSplit/>
          <w:tblHeader/>
        </w:trPr>
        <w:tc>
          <w:tcPr>
            <w:tcW w:type="pct" w:w="85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分组</w:t>
            </w:r>
          </w:p>
        </w:tc>
        <w:tc>
          <w:tcPr>
            <w:tcW w:type="pct" w:w="185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样本来源与数量</w:t>
            </w:r>
          </w:p>
        </w:tc>
        <w:tc>
          <w:tcPr>
            <w:tcW w:type="pct" w:w="10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预期判决</w:t>
            </w:r>
          </w:p>
        </w:tc>
        <w:tc>
          <w:tcPr>
            <w:tcW w:type="pct" w:w="13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设计目的</w:t>
            </w:r>
          </w:p>
        </w:tc>
      </w:tr>
      <w:tr>
        <w:trPr>
          <w:cantSplit/>
        </w:trPr>
        <w:tc>
          <w:tcPr>
            <w:tcW w:type="pct" w:w="8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N1 自然原始</w:t>
            </w:r>
          </w:p>
        </w:tc>
        <w:tc>
          <w:tcPr>
            <w:tcW w:type="pct" w:w="18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公开人声 + 公有领域有声书，5 段</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放行（LOW/MEDIUM）</w:t>
            </w:r>
          </w:p>
        </w:tc>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基准误报率</w:t>
            </w:r>
          </w:p>
        </w:tc>
      </w:tr>
      <w:tr>
        <w:trPr>
          <w:cantSplit/>
        </w:trPr>
        <w:tc>
          <w:tcPr>
            <w:tcW w:type="pct" w:w="8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N2 自然变体</w:t>
            </w:r>
          </w:p>
        </w:tc>
        <w:tc>
          <w:tcPr>
            <w:tcW w:type="pct" w:w="18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N1 的±6dB 增益 / 1.05 变速 / 20dB 加噪变体，20 段</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放行</w:t>
            </w:r>
          </w:p>
        </w:tc>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抗误报鲁棒性</w:t>
            </w:r>
          </w:p>
        </w:tc>
      </w:tr>
      <w:tr>
        <w:trPr>
          <w:cantSplit/>
        </w:trPr>
        <w:tc>
          <w:tcPr>
            <w:tcW w:type="pct" w:w="8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T1 合成校准集</w:t>
            </w:r>
          </w:p>
        </w:tc>
        <w:tc>
          <w:tcPr>
            <w:tcW w:type="pct" w:w="18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神经 TTS 7 音色× 3 文本，20 段</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检出（HIGH/CRITICAL）</w:t>
            </w:r>
          </w:p>
        </w:tc>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校准集内检出率</w:t>
            </w:r>
          </w:p>
        </w:tc>
      </w:tr>
      <w:tr>
        <w:trPr>
          <w:cantSplit/>
        </w:trPr>
        <w:tc>
          <w:tcPr>
            <w:tcW w:type="pct" w:w="8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T2 合成独立集</w:t>
            </w:r>
          </w:p>
        </w:tc>
        <w:tc>
          <w:tcPr>
            <w:tcW w:type="pct" w:w="18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同 7 音色× 3 新文本（本轮缺席）</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检出</w:t>
            </w:r>
          </w:p>
        </w:tc>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文本级泛化（待补测）</w:t>
            </w:r>
          </w:p>
        </w:tc>
      </w:tr>
      <w:tr>
        <w:trPr>
          <w:cantSplit/>
        </w:trPr>
        <w:tc>
          <w:tcPr>
            <w:tcW w:type="pct" w:w="8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T3 合成退化变体</w:t>
            </w:r>
          </w:p>
        </w:tc>
        <w:tc>
          <w:tcPr>
            <w:tcW w:type="pct" w:w="18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T1 的 20dB 加噪 / MP3 64kbps / 1.05 变速变体，60 段</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检出</w:t>
            </w:r>
          </w:p>
        </w:tc>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检出鲁棒性</w:t>
            </w:r>
          </w:p>
        </w:tc>
      </w:tr>
    </w:tbl>
    <w:p>
      <w:pPr>
        <w:pStyle w:val="Heading2"/>
        <w:spacing w:after="120" w:before="260" w:line="350" w:lineRule="atLeast"/>
      </w:pPr>
      <w:bookmarkStart w:name="_Toc11" w:id="11"/>
      <w:r>
        <w:rPr>
          <w:rFonts w:ascii="Times New Roman" w:eastAsia="SimHei"/>
          <w:b/>
          <w:bCs/>
          <w:color w:val="0F2419"/>
          <w:sz w:val="30"/>
          <w:szCs w:val="30"/>
        </w:rPr>
        <w:t xml:space="preserve">3.2 鲁棒性变体构造</w:t>
      </w:r>
      <w:bookmarkEnd w:id="11"/>
    </w:p>
    <w:p>
      <w:pPr>
        <w:spacing w:after="60" w:line="312"/>
        <w:ind w:firstLine="480"/>
        <w:jc w:val="both"/>
      </w:pPr>
      <w:r>
        <w:rPr>
          <w:rFonts w:ascii="Times New Roman" w:eastAsia="SimSun"/>
          <w:b w:val="false"/>
          <w:bCs w:val="false"/>
          <w:color w:val="1A2420"/>
          <w:sz w:val="24"/>
          <w:szCs w:val="24"/>
        </w:rPr>
        <w:t xml:space="preserve">鲁棒性变体模拟现实通话与语音消息场景中常见的四类扰动（见表 3-2）。自然类变体用于考察抗误报：通话双方音量差异对应 ±6 dB 增益，倍速播放或变速转发对应 1.05 倍变速（线性插值重采样实现，同时影响时长与音高），嘁杂环境对应 20 dB 信噪比加性白噪声。合成类变体进一步包含 MP3 编解码往返：以 FFmpeg 7.1 将样本压缩为 64 kbps 单声道 MP3 后再解码回 16 kHz，模拟微信语音消息的压缩链路——这是 AI 语音诈骗在实际传播中最常见的载体之一。全部变体生成均为纯本地 DSP 处理，不依赖任何外部服务。</w:t>
      </w:r>
    </w:p>
    <w:p>
      <w:pPr>
        <w:keepNext/>
        <w:spacing w:after="80" w:before="200"/>
        <w:jc w:val="center"/>
      </w:pPr>
      <w:r>
        <w:rPr>
          <w:rFonts w:ascii="Times New Roman" w:eastAsia="SimHei"/>
          <w:b/>
          <w:bCs/>
          <w:color w:val="1A2420"/>
          <w:sz w:val="21"/>
          <w:szCs w:val="21"/>
        </w:rPr>
        <w:t xml:space="preserve">表 3-2 鲁棒性变体参数</w:t>
      </w:r>
    </w:p>
    <w:tbl>
      <w:tblPr>
        <w:tblW w:type="pct" w:w="5000"/>
        <w:tblBorders>
          <w:top w:val="single" w:color="9CC5AF" w:sz="4"/>
          <w:left w:val="none"/>
          <w:bottom w:val="single" w:color="9CC5AF" w:sz="4"/>
          <w:right w:val="none"/>
          <w:insideH w:val="single" w:color="D5E5DC" w:sz="2"/>
          <w:insideV w:val="single" w:color="D5E5DC" w:sz="2"/>
        </w:tblBorders>
      </w:tblPr>
      <w:tblGrid>
        <w:gridCol w:w="1758"/>
        <w:gridCol w:w="2988"/>
        <w:gridCol w:w="2461"/>
        <w:gridCol w:w="1582"/>
      </w:tblGrid>
      <w:tr>
        <w:trPr>
          <w:cantSplit/>
          <w:tblHeader/>
        </w:trPr>
        <w:tc>
          <w:tcPr>
            <w:tcW w:type="pct" w:w="10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变体</w:t>
            </w:r>
          </w:p>
        </w:tc>
        <w:tc>
          <w:tcPr>
            <w:tcW w:type="pct" w:w="17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参数</w:t>
            </w:r>
          </w:p>
        </w:tc>
        <w:tc>
          <w:tcPr>
            <w:tcW w:type="pct" w:w="14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对应现实场景</w:t>
            </w:r>
          </w:p>
        </w:tc>
        <w:tc>
          <w:tcPr>
            <w:tcW w:type="pct" w:w="9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测试组</w:t>
            </w:r>
          </w:p>
        </w:tc>
      </w:tr>
      <w:tr>
        <w:trPr>
          <w:cantSplit/>
        </w:trPr>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增益上调 / 下调</w:t>
            </w:r>
          </w:p>
        </w:tc>
        <w:tc>
          <w:tcPr>
            <w:tcW w:type="pct" w:w="17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+6 dB / ☆6 dB（线性增益并削顶）</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通话双方音量差异</w:t>
            </w:r>
          </w:p>
        </w:tc>
        <w:tc>
          <w:tcPr>
            <w:tcW w:type="pct" w:w="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N2</w:t>
            </w:r>
          </w:p>
        </w:tc>
      </w:tr>
      <w:tr>
        <w:trPr>
          <w:cantSplit/>
        </w:trPr>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变速</w:t>
            </w:r>
          </w:p>
        </w:tc>
        <w:tc>
          <w:tcPr>
            <w:tcW w:type="pct" w:w="17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×1.05（线性插值重采样）</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倍速播放 / 变速转发</w:t>
            </w:r>
          </w:p>
        </w:tc>
        <w:tc>
          <w:tcPr>
            <w:tcW w:type="pct" w:w="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N2 / T3</w:t>
            </w:r>
          </w:p>
        </w:tc>
      </w:tr>
      <w:tr>
        <w:trPr>
          <w:cantSplit/>
        </w:trPr>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加性噪声</w:t>
            </w:r>
          </w:p>
        </w:tc>
        <w:tc>
          <w:tcPr>
            <w:tcW w:type="pct" w:w="17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20 dB 信噪比白噪声（固定种子）</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嘁杂环境通话</w:t>
            </w:r>
          </w:p>
        </w:tc>
        <w:tc>
          <w:tcPr>
            <w:tcW w:type="pct" w:w="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N2 / T3</w:t>
            </w:r>
          </w:p>
        </w:tc>
      </w:tr>
      <w:tr>
        <w:trPr>
          <w:cantSplit/>
        </w:trPr>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MP3 编解码</w:t>
            </w:r>
          </w:p>
        </w:tc>
        <w:tc>
          <w:tcPr>
            <w:tcW w:type="pct" w:w="17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64 kbps 单声道往返（FFmpeg 7.1）</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语音消息压缩链路</w:t>
            </w:r>
          </w:p>
        </w:tc>
        <w:tc>
          <w:tcPr>
            <w:tcW w:type="pct" w:w="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T3</w:t>
            </w:r>
          </w:p>
        </w:tc>
      </w:tr>
    </w:tbl>
    <w:p>
      <w:pPr>
        <w:pStyle w:val="Heading2"/>
        <w:spacing w:after="120" w:before="260" w:line="350" w:lineRule="atLeast"/>
      </w:pPr>
      <w:bookmarkStart w:name="_Toc12" w:id="12"/>
      <w:r>
        <w:rPr>
          <w:rFonts w:ascii="Times New Roman" w:eastAsia="SimHei"/>
          <w:b/>
          <w:bCs/>
          <w:color w:val="0F2419"/>
          <w:sz w:val="30"/>
          <w:szCs w:val="30"/>
        </w:rPr>
        <w:t xml:space="preserve">3.3 信道仿真与判决规则</w:t>
      </w:r>
      <w:bookmarkEnd w:id="12"/>
    </w:p>
    <w:p>
      <w:pPr>
        <w:spacing w:after="60" w:line="312"/>
        <w:ind w:firstLine="480"/>
        <w:jc w:val="both"/>
      </w:pPr>
      <w:r>
        <w:rPr>
          <w:rFonts w:ascii="Times New Roman" w:eastAsia="SimSun"/>
          <w:b w:val="false"/>
          <w:bCs w:val="false"/>
          <w:color w:val="1A2420"/>
          <w:sz w:val="24"/>
          <w:szCs w:val="24"/>
        </w:rPr>
        <w:t xml:space="preserve">每一个原始与变体样本均在两种信道条件下测试：宽带信道（原始 16 kHz 采样）与窄带信道（在 FFT 域施加 300–3400 Hz 带通滤波并叠加轻微底噪，仿真公众电话网信道），因此 105 个文件共产生 210 条判决。窄带仿真参数与引擎校准管线完全一致（固定种子），保证测试条件与校准条件可比。判定规则见表 3-3：合成样本被判为 HIGH 或 CRITICAL 记为检出（真阳性 TP，未达则为漏报 FN）；自然样本被判为 LOW 或 MEDIUM 记为放行（真阴性 TN，否则为误报 FP）。MEDIUM 档对自然样本而言仍属放行，体现了系统对不确定样本不作硬判的设计意图。</w:t>
      </w:r>
    </w:p>
    <w:p>
      <w:pPr>
        <w:keepNext/>
        <w:spacing w:after="80" w:before="200"/>
        <w:jc w:val="center"/>
      </w:pPr>
      <w:r>
        <w:rPr>
          <w:rFonts w:ascii="Times New Roman" w:eastAsia="SimHei"/>
          <w:b/>
          <w:bCs/>
          <w:color w:val="1A2420"/>
          <w:sz w:val="21"/>
          <w:szCs w:val="21"/>
        </w:rPr>
        <w:t xml:space="preserve">表 3-3 判定规则与指标定义</w:t>
      </w:r>
    </w:p>
    <w:tbl>
      <w:tblPr>
        <w:tblW w:type="pct" w:w="5000"/>
        <w:tblBorders>
          <w:top w:val="single" w:color="9CC5AF" w:sz="4"/>
          <w:left w:val="none"/>
          <w:bottom w:val="single" w:color="9CC5AF" w:sz="4"/>
          <w:right w:val="none"/>
          <w:insideH w:val="single" w:color="D5E5DC" w:sz="2"/>
          <w:insideV w:val="single" w:color="D5E5DC" w:sz="2"/>
        </w:tblBorders>
      </w:tblPr>
      <w:tblGrid>
        <w:gridCol w:w="2636"/>
        <w:gridCol w:w="3164"/>
        <w:gridCol w:w="2988"/>
      </w:tblGrid>
      <w:tr>
        <w:trPr>
          <w:cantSplit/>
          <w:tblHeader/>
        </w:trPr>
        <w:tc>
          <w:tcPr>
            <w:tcW w:type="pct" w:w="15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真实类别</w:t>
            </w:r>
          </w:p>
        </w:tc>
        <w:tc>
          <w:tcPr>
            <w:tcW w:type="pct" w:w="18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判为合成（HIGH/CRITICAL）</w:t>
            </w:r>
          </w:p>
        </w:tc>
        <w:tc>
          <w:tcPr>
            <w:tcW w:type="pct" w:w="17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判为正常（LOW/MEDIUM）</w:t>
            </w:r>
          </w:p>
        </w:tc>
      </w:tr>
      <w:tr>
        <w:trPr>
          <w:cantSplit/>
        </w:trPr>
        <w:tc>
          <w:tcPr>
            <w:tcW w:type="pct" w:w="1500"/>
            <w:tcMar>
              <w:top w:type="dxa" w:w="70"/>
              <w:left w:type="dxa" w:w="110"/>
              <w:bottom w:type="dxa" w:w="70"/>
              <w:right w:type="dxa" w:w="110"/>
            </w:tcMar>
          </w:tcPr>
          <w:p>
            <w:pPr>
              <w:spacing w:line="280"/>
              <w:jc w:val="left"/>
            </w:pPr>
            <w:r>
              <w:rPr>
                <w:rFonts w:ascii="Times New Roman" w:eastAsia="SimSun"/>
                <w:b/>
                <w:bCs/>
                <w:color w:val="1A2420"/>
                <w:sz w:val="20"/>
                <w:szCs w:val="20"/>
              </w:rPr>
              <w:t xml:space="preserve">合成语音（T 组）</w:t>
            </w:r>
          </w:p>
        </w:tc>
        <w:tc>
          <w:tcPr>
            <w:tcW w:type="pct" w:w="1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TP（检出，正确）</w:t>
            </w:r>
          </w:p>
        </w:tc>
        <w:tc>
          <w:tcPr>
            <w:tcW w:type="pct" w:w="17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FN（漏报）</w:t>
            </w:r>
          </w:p>
        </w:tc>
      </w:tr>
      <w:tr>
        <w:trPr>
          <w:cantSplit/>
        </w:trPr>
        <w:tc>
          <w:tcPr>
            <w:tcW w:type="pct" w:w="1500"/>
            <w:tcMar>
              <w:top w:type="dxa" w:w="70"/>
              <w:left w:type="dxa" w:w="110"/>
              <w:bottom w:type="dxa" w:w="70"/>
              <w:right w:type="dxa" w:w="110"/>
            </w:tcMar>
          </w:tcPr>
          <w:p>
            <w:pPr>
              <w:spacing w:line="280"/>
              <w:jc w:val="left"/>
            </w:pPr>
            <w:r>
              <w:rPr>
                <w:rFonts w:ascii="Times New Roman" w:eastAsia="SimSun"/>
                <w:b/>
                <w:bCs/>
                <w:color w:val="1A2420"/>
                <w:sz w:val="20"/>
                <w:szCs w:val="20"/>
              </w:rPr>
              <w:t xml:space="preserve">自然人声（N 组）</w:t>
            </w:r>
          </w:p>
        </w:tc>
        <w:tc>
          <w:tcPr>
            <w:tcW w:type="pct" w:w="1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FP（误报）</w:t>
            </w:r>
          </w:p>
        </w:tc>
        <w:tc>
          <w:tcPr>
            <w:tcW w:type="pct" w:w="17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TN（放行，正确）</w:t>
            </w:r>
          </w:p>
        </w:tc>
      </w:tr>
    </w:tbl>
    <w:p>
      <w:pPr>
        <w:spacing w:after="160" w:before="40" w:line="280"/>
        <w:jc w:val="left"/>
      </w:pPr>
      <w:r>
        <w:rPr>
          <w:rFonts w:ascii="Times New Roman" w:eastAsia="SimSun"/>
          <w:color w:val="5C6E64"/>
          <w:sz w:val="18"/>
          <w:szCs w:val="18"/>
        </w:rPr>
        <w:t xml:space="preserve">指标定义：准确率 = (TP+TN)/全部；精确率 = TP/(TP+FP)；召回率 = TP/(TP+FN)；F1 = 2PR/(P+R)。</w:t>
      </w:r>
    </w:p>
    <w:p>
      <w:pPr>
        <w:pStyle w:val="Heading2"/>
        <w:spacing w:after="120" w:before="260" w:line="350" w:lineRule="atLeast"/>
      </w:pPr>
      <w:bookmarkStart w:name="_Toc13" w:id="13"/>
      <w:r>
        <w:rPr>
          <w:rFonts w:ascii="Times New Roman" w:eastAsia="SimHei"/>
          <w:b/>
          <w:bCs/>
          <w:color w:val="0F2419"/>
          <w:sz w:val="30"/>
          <w:szCs w:val="30"/>
        </w:rPr>
        <w:t xml:space="preserve">3.4 端到端功能用例设计</w:t>
      </w:r>
      <w:bookmarkEnd w:id="13"/>
    </w:p>
    <w:p>
      <w:pPr>
        <w:spacing w:after="60" w:line="312"/>
        <w:ind w:firstLine="480"/>
        <w:jc w:val="both"/>
      </w:pPr>
      <w:r>
        <w:rPr>
          <w:rFonts w:ascii="Times New Roman" w:eastAsia="SimSun"/>
          <w:b w:val="false"/>
          <w:bCs w:val="false"/>
          <w:color w:val="1A2420"/>
          <w:sz w:val="24"/>
          <w:szCs w:val="24"/>
        </w:rPr>
        <w:t xml:space="preserve">端到端功能测试覆盖平台全部功能模块的 8 个用例（见表 3-4），用例设计遵循参赛作品的完整演示动线：从实时鉴听到文件检测、从现场合成挑战到案例库与证据下载、从核验报告到异常容错。每个用例均定义了前置条件、操作步骤、预期结果与通过条件，由无头浏览器自动化执行并以控制台零 JavaScript 错误作为强制通过条件。</w:t>
      </w:r>
    </w:p>
    <w:p>
      <w:pPr>
        <w:keepNext/>
        <w:spacing w:after="80" w:before="200"/>
        <w:jc w:val="center"/>
      </w:pPr>
      <w:r>
        <w:rPr>
          <w:rFonts w:ascii="Times New Roman" w:eastAsia="SimHei"/>
          <w:b/>
          <w:bCs/>
          <w:color w:val="1A2420"/>
          <w:sz w:val="21"/>
          <w:szCs w:val="21"/>
        </w:rPr>
        <w:t xml:space="preserve">表 3-4 端到端功能测试用例</w:t>
      </w:r>
    </w:p>
    <w:tbl>
      <w:tblPr>
        <w:tblW w:type="pct" w:w="5000"/>
        <w:tblBorders>
          <w:top w:val="single" w:color="9CC5AF" w:sz="4"/>
          <w:left w:val="none"/>
          <w:bottom w:val="single" w:color="9CC5AF" w:sz="4"/>
          <w:right w:val="none"/>
          <w:insideH w:val="single" w:color="D5E5DC" w:sz="2"/>
          <w:insideV w:val="single" w:color="D5E5DC" w:sz="2"/>
        </w:tblBorders>
      </w:tblPr>
      <w:tblGrid>
        <w:gridCol w:w="1055"/>
        <w:gridCol w:w="4570"/>
        <w:gridCol w:w="3164"/>
      </w:tblGrid>
      <w:tr>
        <w:trPr>
          <w:cantSplit/>
          <w:tblHeader/>
        </w:trPr>
        <w:tc>
          <w:tcPr>
            <w:tcW w:type="pct" w:w="6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编号</w:t>
            </w:r>
          </w:p>
        </w:tc>
        <w:tc>
          <w:tcPr>
            <w:tcW w:type="pct" w:w="26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用例</w:t>
            </w:r>
          </w:p>
        </w:tc>
        <w:tc>
          <w:tcPr>
            <w:tcW w:type="pct" w:w="18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预期结果</w:t>
            </w:r>
          </w:p>
        </w:tc>
      </w:tr>
      <w:tr>
        <w:trPr>
          <w:cantSplit/>
        </w:trPr>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UC-01</w:t>
            </w:r>
          </w:p>
        </w:tc>
        <w:tc>
          <w:tcPr>
            <w:tcW w:type="pct" w:w="2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实时鉴听：播放合成样本开启实时检测</w:t>
            </w:r>
          </w:p>
        </w:tc>
        <w:tc>
          <w:tcPr>
            <w:tcW w:type="pct" w:w="1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高风险告警，案件入库</w:t>
            </w:r>
          </w:p>
        </w:tc>
      </w:tr>
      <w:tr>
        <w:trPr>
          <w:cantSplit/>
        </w:trPr>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UC-02</w:t>
            </w:r>
          </w:p>
        </w:tc>
        <w:tc>
          <w:tcPr>
            <w:tcW w:type="pct" w:w="2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实时鉴听：自然样本实时检测</w:t>
            </w:r>
          </w:p>
        </w:tc>
        <w:tc>
          <w:tcPr>
            <w:tcW w:type="pct" w:w="1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放行，低风险结论</w:t>
            </w:r>
          </w:p>
        </w:tc>
      </w:tr>
      <w:tr>
        <w:trPr>
          <w:cantSplit/>
        </w:trPr>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UC-03</w:t>
            </w:r>
          </w:p>
        </w:tc>
        <w:tc>
          <w:tcPr>
            <w:tcW w:type="pct" w:w="2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文件检测：拖拽上传音频文件</w:t>
            </w:r>
          </w:p>
        </w:tc>
        <w:tc>
          <w:tcPr>
            <w:tcW w:type="pct" w:w="1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给出判决与可解释特征剖面</w:t>
            </w:r>
          </w:p>
        </w:tc>
      </w:tr>
      <w:tr>
        <w:trPr>
          <w:cantSplit/>
        </w:trPr>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UC-04</w:t>
            </w:r>
          </w:p>
        </w:tc>
        <w:tc>
          <w:tcPr>
            <w:tcW w:type="pct" w:w="2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现场合成挑战：选择话术与音色合成并检测</w:t>
            </w:r>
          </w:p>
        </w:tc>
        <w:tc>
          <w:tcPr>
            <w:tcW w:type="pct" w:w="1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CRITICAL 告警 + 双哈希存证入库</w:t>
            </w:r>
          </w:p>
        </w:tc>
      </w:tr>
      <w:tr>
        <w:trPr>
          <w:cantSplit/>
        </w:trPr>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UC-05</w:t>
            </w:r>
          </w:p>
        </w:tc>
        <w:tc>
          <w:tcPr>
            <w:tcW w:type="pct" w:w="2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案例库：检索历史检测案件</w:t>
            </w:r>
          </w:p>
        </w:tc>
        <w:tc>
          <w:tcPr>
            <w:tcW w:type="pct" w:w="1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案件列表与证据链完整展示</w:t>
            </w:r>
          </w:p>
        </w:tc>
      </w:tr>
      <w:tr>
        <w:trPr>
          <w:cantSplit/>
        </w:trPr>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UC-06</w:t>
            </w:r>
          </w:p>
        </w:tc>
        <w:tc>
          <w:tcPr>
            <w:tcW w:type="pct" w:w="2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证据下载：下载 WAV 证据文件</w:t>
            </w:r>
          </w:p>
        </w:tc>
        <w:tc>
          <w:tcPr>
            <w:tcW w:type="pct" w:w="1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文件可下载且哈希一致</w:t>
            </w:r>
          </w:p>
        </w:tc>
      </w:tr>
      <w:tr>
        <w:trPr>
          <w:cantSplit/>
        </w:trPr>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UC-07</w:t>
            </w:r>
          </w:p>
        </w:tc>
        <w:tc>
          <w:tcPr>
            <w:tcW w:type="pct" w:w="2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核验报告：生成可打印取证报告</w:t>
            </w:r>
          </w:p>
        </w:tc>
        <w:tc>
          <w:tcPr>
            <w:tcW w:type="pct" w:w="1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八章节报告 DOM 完整</w:t>
            </w:r>
          </w:p>
        </w:tc>
      </w:tr>
      <w:tr>
        <w:trPr>
          <w:cantSplit/>
        </w:trPr>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UC-08</w:t>
            </w:r>
          </w:p>
        </w:tc>
        <w:tc>
          <w:tcPr>
            <w:tcW w:type="pct" w:w="2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异常容错：无麦克风环境访问</w:t>
            </w:r>
          </w:p>
        </w:tc>
        <w:tc>
          <w:tcPr>
            <w:tcW w:type="pct" w:w="1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优雅降级提示，无崩溃</w:t>
            </w:r>
          </w:p>
        </w:tc>
      </w:tr>
    </w:tbl>
    <w:p>
      <w:pPr>
        <w:pStyle w:val="Heading1"/>
        <w:spacing w:after="160" w:before="360" w:line="380" w:lineRule="atLeast"/>
      </w:pPr>
      <w:bookmarkStart w:name="_Toc14" w:id="14"/>
      <w:r>
        <w:rPr>
          <w:rFonts w:ascii="Times New Roman" w:eastAsia="SimHei"/>
          <w:b/>
          <w:bCs/>
          <w:color w:val="0F2419"/>
          <w:sz w:val="32"/>
          <w:szCs w:val="32"/>
        </w:rPr>
        <w:t xml:space="preserve">第四章 检测性能测试结果</w:t>
      </w:r>
      <w:bookmarkEnd w:id="14"/>
    </w:p>
    <w:p>
      <w:pPr>
        <w:pStyle w:val="Heading2"/>
        <w:spacing w:after="120" w:before="260" w:line="350" w:lineRule="atLeast"/>
      </w:pPr>
      <w:bookmarkStart w:name="_Toc15" w:id="15"/>
      <w:r>
        <w:rPr>
          <w:rFonts w:ascii="Times New Roman" w:eastAsia="SimHei"/>
          <w:b/>
          <w:bCs/>
          <w:color w:val="0F2419"/>
          <w:sz w:val="30"/>
          <w:szCs w:val="30"/>
        </w:rPr>
        <w:t xml:space="preserve">4.1 总体混淆矩阵与分信道指标</w:t>
      </w:r>
      <w:bookmarkEnd w:id="15"/>
    </w:p>
    <w:p>
      <w:pPr>
        <w:spacing w:after="60" w:line="312"/>
        <w:ind w:firstLine="480"/>
        <w:jc w:val="both"/>
      </w:pPr>
      <w:r>
        <w:rPr>
          <w:rFonts w:ascii="Times New Roman" w:eastAsia="SimSun"/>
          <w:b w:val="false"/>
          <w:bCs w:val="false"/>
          <w:color w:val="1A2420"/>
          <w:sz w:val="24"/>
          <w:szCs w:val="24"/>
        </w:rPr>
        <w:t xml:space="preserve">210 条判决的总体结果见表 4-1 与图 4-1。宽带信道下，引擎对合成语音的召回率为 90.0%（72/80），对自然人声的误报为 5 条（25 条自然判决中 20 条正确放行），准确率 87.6%、精确率 0.935、F1 0.917。窄带（电话信道）条件下召回率降至 72.5%（58/80），准确率 74.3%，但精确率仍维持在 0.921。两信道精确率均高于 0.92 是一个对反诈业务尤其重要的结果：当声盾给出 HIGH/CRITICAL 告警时，其指向合成语音的可信度超过 92%，即告警高可信——这正是反诈场景所需的权衡方向（宁可对可疑电话多提醒验证，不可对真实亲友频繁误报）。</w:t>
      </w:r>
    </w:p>
    <w:p>
      <w:pPr>
        <w:keepNext/>
        <w:spacing w:after="80" w:before="200"/>
        <w:jc w:val="center"/>
      </w:pPr>
      <w:r>
        <w:rPr>
          <w:rFonts w:ascii="Times New Roman" w:eastAsia="SimHei"/>
          <w:b/>
          <w:bCs/>
          <w:color w:val="1A2420"/>
          <w:sz w:val="21"/>
          <w:szCs w:val="21"/>
        </w:rPr>
        <w:t xml:space="preserve">表 4-1 分信道混淆矩阵与核心指标</w:t>
      </w:r>
    </w:p>
    <w:tbl>
      <w:tblPr>
        <w:tblW w:type="pct" w:w="5000"/>
        <w:tblBorders>
          <w:top w:val="single" w:color="9CC5AF" w:sz="4"/>
          <w:left w:val="none"/>
          <w:bottom w:val="single" w:color="9CC5AF" w:sz="4"/>
          <w:right w:val="none"/>
          <w:insideH w:val="single" w:color="D5E5DC" w:sz="2"/>
          <w:insideV w:val="single" w:color="D5E5DC" w:sz="2"/>
        </w:tblBorders>
      </w:tblPr>
      <w:tblGrid>
        <w:gridCol w:w="3867"/>
        <w:gridCol w:w="2461"/>
        <w:gridCol w:w="2461"/>
      </w:tblGrid>
      <w:tr>
        <w:trPr>
          <w:cantSplit/>
          <w:tblHeader/>
        </w:trPr>
        <w:tc>
          <w:tcPr>
            <w:tcW w:type="pct" w:w="22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指标</w:t>
            </w:r>
          </w:p>
        </w:tc>
        <w:tc>
          <w:tcPr>
            <w:tcW w:type="pct" w:w="14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宽带信道</w:t>
            </w:r>
          </w:p>
        </w:tc>
        <w:tc>
          <w:tcPr>
            <w:tcW w:type="pct" w:w="14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窄带（电话）信道</w:t>
            </w:r>
          </w:p>
        </w:tc>
      </w:tr>
      <w:tr>
        <w:trPr>
          <w:cantSplit/>
        </w:trPr>
        <w:tc>
          <w:tcPr>
            <w:tcW w:type="pct" w:w="2200"/>
            <w:tcMar>
              <w:top w:type="dxa" w:w="70"/>
              <w:left w:type="dxa" w:w="110"/>
              <w:bottom w:type="dxa" w:w="70"/>
              <w:right w:type="dxa" w:w="110"/>
            </w:tcMar>
          </w:tcPr>
          <w:p>
            <w:pPr>
              <w:spacing w:line="280"/>
              <w:jc w:val="left"/>
            </w:pPr>
            <w:r>
              <w:rPr>
                <w:rFonts w:ascii="Times New Roman" w:eastAsia="SimSun"/>
                <w:b/>
                <w:bCs/>
                <w:color w:val="1A2420"/>
                <w:sz w:val="20"/>
                <w:szCs w:val="20"/>
              </w:rPr>
              <w:t xml:space="preserve">TP 检出（合成→告警）</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72</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58</w:t>
            </w:r>
          </w:p>
        </w:tc>
      </w:tr>
      <w:tr>
        <w:trPr>
          <w:cantSplit/>
        </w:trPr>
        <w:tc>
          <w:tcPr>
            <w:tcW w:type="pct" w:w="2200"/>
            <w:tcMar>
              <w:top w:type="dxa" w:w="70"/>
              <w:left w:type="dxa" w:w="110"/>
              <w:bottom w:type="dxa" w:w="70"/>
              <w:right w:type="dxa" w:w="110"/>
            </w:tcMar>
          </w:tcPr>
          <w:p>
            <w:pPr>
              <w:spacing w:line="280"/>
              <w:jc w:val="left"/>
            </w:pPr>
            <w:r>
              <w:rPr>
                <w:rFonts w:ascii="Times New Roman" w:eastAsia="SimSun"/>
                <w:b/>
                <w:bCs/>
                <w:color w:val="1A2420"/>
                <w:sz w:val="20"/>
                <w:szCs w:val="20"/>
              </w:rPr>
              <w:t xml:space="preserve">FN 漏报（合成→放行）</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8</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22</w:t>
            </w:r>
          </w:p>
        </w:tc>
      </w:tr>
      <w:tr>
        <w:trPr>
          <w:cantSplit/>
        </w:trPr>
        <w:tc>
          <w:tcPr>
            <w:tcW w:type="pct" w:w="2200"/>
            <w:tcMar>
              <w:top w:type="dxa" w:w="70"/>
              <w:left w:type="dxa" w:w="110"/>
              <w:bottom w:type="dxa" w:w="70"/>
              <w:right w:type="dxa" w:w="110"/>
            </w:tcMar>
          </w:tcPr>
          <w:p>
            <w:pPr>
              <w:spacing w:line="280"/>
              <w:jc w:val="left"/>
            </w:pPr>
            <w:r>
              <w:rPr>
                <w:rFonts w:ascii="Times New Roman" w:eastAsia="SimSun"/>
                <w:b/>
                <w:bCs/>
                <w:color w:val="1A2420"/>
                <w:sz w:val="20"/>
                <w:szCs w:val="20"/>
              </w:rPr>
              <w:t xml:space="preserve">FP 误报（自然→告警）</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5</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5</w:t>
            </w:r>
          </w:p>
        </w:tc>
      </w:tr>
      <w:tr>
        <w:trPr>
          <w:cantSplit/>
        </w:trPr>
        <w:tc>
          <w:tcPr>
            <w:tcW w:type="pct" w:w="2200"/>
            <w:tcMar>
              <w:top w:type="dxa" w:w="70"/>
              <w:left w:type="dxa" w:w="110"/>
              <w:bottom w:type="dxa" w:w="70"/>
              <w:right w:type="dxa" w:w="110"/>
            </w:tcMar>
          </w:tcPr>
          <w:p>
            <w:pPr>
              <w:spacing w:line="280"/>
              <w:jc w:val="left"/>
            </w:pPr>
            <w:r>
              <w:rPr>
                <w:rFonts w:ascii="Times New Roman" w:eastAsia="SimSun"/>
                <w:b/>
                <w:bCs/>
                <w:color w:val="1A2420"/>
                <w:sz w:val="20"/>
                <w:szCs w:val="20"/>
              </w:rPr>
              <w:t xml:space="preserve">TN 放行（自然→放行）</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20</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20</w:t>
            </w:r>
          </w:p>
        </w:tc>
      </w:tr>
      <w:tr>
        <w:trPr>
          <w:cantSplit/>
        </w:trPr>
        <w:tc>
          <w:tcPr>
            <w:tcW w:type="pct" w:w="2200"/>
            <w:tcMar>
              <w:top w:type="dxa" w:w="70"/>
              <w:left w:type="dxa" w:w="110"/>
              <w:bottom w:type="dxa" w:w="70"/>
              <w:right w:type="dxa" w:w="110"/>
            </w:tcMar>
          </w:tcPr>
          <w:p>
            <w:pPr>
              <w:spacing w:line="280"/>
              <w:jc w:val="left"/>
            </w:pPr>
            <w:r>
              <w:rPr>
                <w:rFonts w:ascii="Times New Roman" w:eastAsia="SimSun"/>
                <w:b/>
                <w:bCs/>
                <w:color w:val="1A2420"/>
                <w:sz w:val="20"/>
                <w:szCs w:val="20"/>
              </w:rPr>
              <w:t xml:space="preserve">准确率 Accuracy</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0.876</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0.743</w:t>
            </w:r>
          </w:p>
        </w:tc>
      </w:tr>
      <w:tr>
        <w:trPr>
          <w:cantSplit/>
        </w:trPr>
        <w:tc>
          <w:tcPr>
            <w:tcW w:type="pct" w:w="2200"/>
            <w:tcMar>
              <w:top w:type="dxa" w:w="70"/>
              <w:left w:type="dxa" w:w="110"/>
              <w:bottom w:type="dxa" w:w="70"/>
              <w:right w:type="dxa" w:w="110"/>
            </w:tcMar>
          </w:tcPr>
          <w:p>
            <w:pPr>
              <w:spacing w:line="280"/>
              <w:jc w:val="left"/>
            </w:pPr>
            <w:r>
              <w:rPr>
                <w:rFonts w:ascii="Times New Roman" w:eastAsia="SimSun"/>
                <w:b/>
                <w:bCs/>
                <w:color w:val="1A2420"/>
                <w:sz w:val="20"/>
                <w:szCs w:val="20"/>
              </w:rPr>
              <w:t xml:space="preserve">精确率 Precision</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0.935</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0.921</w:t>
            </w:r>
          </w:p>
        </w:tc>
      </w:tr>
      <w:tr>
        <w:trPr>
          <w:cantSplit/>
        </w:trPr>
        <w:tc>
          <w:tcPr>
            <w:tcW w:type="pct" w:w="2200"/>
            <w:tcMar>
              <w:top w:type="dxa" w:w="70"/>
              <w:left w:type="dxa" w:w="110"/>
              <w:bottom w:type="dxa" w:w="70"/>
              <w:right w:type="dxa" w:w="110"/>
            </w:tcMar>
          </w:tcPr>
          <w:p>
            <w:pPr>
              <w:spacing w:line="280"/>
              <w:jc w:val="left"/>
            </w:pPr>
            <w:r>
              <w:rPr>
                <w:rFonts w:ascii="Times New Roman" w:eastAsia="SimSun"/>
                <w:b/>
                <w:bCs/>
                <w:color w:val="1A2420"/>
                <w:sz w:val="20"/>
                <w:szCs w:val="20"/>
              </w:rPr>
              <w:t xml:space="preserve">召回率 Recall</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0.900</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0.725</w:t>
            </w:r>
          </w:p>
        </w:tc>
      </w:tr>
      <w:tr>
        <w:trPr>
          <w:cantSplit/>
        </w:trPr>
        <w:tc>
          <w:tcPr>
            <w:tcW w:type="pct" w:w="2200"/>
            <w:tcMar>
              <w:top w:type="dxa" w:w="70"/>
              <w:left w:type="dxa" w:w="110"/>
              <w:bottom w:type="dxa" w:w="70"/>
              <w:right w:type="dxa" w:w="110"/>
            </w:tcMar>
          </w:tcPr>
          <w:p>
            <w:pPr>
              <w:spacing w:line="280"/>
              <w:jc w:val="left"/>
            </w:pPr>
            <w:r>
              <w:rPr>
                <w:rFonts w:ascii="Times New Roman" w:eastAsia="SimSun"/>
                <w:b/>
                <w:bCs/>
                <w:color w:val="1A2420"/>
                <w:sz w:val="20"/>
                <w:szCs w:val="20"/>
              </w:rPr>
              <w:t xml:space="preserve">F1 分数</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0.917</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0.811</w:t>
            </w:r>
          </w:p>
        </w:tc>
      </w:tr>
    </w:tbl>
    <w:p>
      <w:pPr>
        <w:spacing w:after="40" w:before="80"/>
        <w:jc w:val="center"/>
      </w:pPr>
      <w:r>
        <w:drawing>
          <wp:inline distT="0" distB="0" distL="0" distR="0">
            <wp:extent cx="4762500" cy="22288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228850"/>
                    </a:xfrm>
                    <a:prstGeom prst="rect">
                      <a:avLst/>
                    </a:prstGeom>
                  </pic:spPr>
                </pic:pic>
              </a:graphicData>
            </a:graphic>
          </wp:inline>
        </w:drawing>
      </w:r>
    </w:p>
    <w:p>
      <w:pPr>
        <w:spacing w:after="160" w:before="40" w:line="280"/>
        <w:jc w:val="left"/>
      </w:pPr>
      <w:r>
        <w:rPr>
          <w:rFonts w:ascii="Times New Roman" w:eastAsia="SimSun"/>
          <w:color w:val="5C6E64"/>
          <w:sz w:val="18"/>
          <w:szCs w:val="18"/>
        </w:rPr>
        <w:t xml:space="preserve">图 4-1 双信道混淆矩阵：210 条判决（合成 160 / 自然 50），括号内为该行占比</w:t>
      </w:r>
    </w:p>
    <w:p>
      <w:pPr>
        <w:pStyle w:val="Heading2"/>
        <w:spacing w:after="120" w:before="260" w:line="350" w:lineRule="atLeast"/>
      </w:pPr>
      <w:bookmarkStart w:name="_Toc16" w:id="16"/>
      <w:r>
        <w:rPr>
          <w:rFonts w:ascii="Times New Roman" w:eastAsia="SimHei"/>
          <w:b/>
          <w:bCs/>
          <w:color w:val="0F2419"/>
          <w:sz w:val="30"/>
          <w:szCs w:val="30"/>
        </w:rPr>
        <w:t xml:space="preserve">4.2 分组判决结果</w:t>
      </w:r>
      <w:bookmarkEnd w:id="16"/>
    </w:p>
    <w:p>
      <w:pPr>
        <w:spacing w:after="60" w:line="312"/>
        <w:ind w:firstLine="480"/>
        <w:jc w:val="both"/>
      </w:pPr>
      <w:r>
        <w:rPr>
          <w:rFonts w:ascii="Times New Roman" w:eastAsia="SimSun"/>
          <w:b w:val="false"/>
          <w:bCs w:val="false"/>
          <w:color w:val="1A2420"/>
          <w:sz w:val="24"/>
          <w:szCs w:val="24"/>
        </w:rPr>
        <w:t xml:space="preserve">按测试分组拆解的正确率见表 4-2 与图 4-2。在未叠加人为退化的条件下，引擎表现稳定：T1 合成校准集宽带检出 20/20（100%）、窄带 16/20（80%）；N1 自然原始与 N2 自然变体均为 80%（误报全部来自同一个已知边界样本，详见 5.1 节）。T3 合成退化变体组的宽带正确率为 86.7%、窄带为 70%，退化对检出率的影响在第五章逐类展开。</w:t>
      </w:r>
    </w:p>
    <w:p>
      <w:pPr>
        <w:keepNext/>
        <w:spacing w:after="80" w:before="200"/>
        <w:jc w:val="center"/>
      </w:pPr>
      <w:r>
        <w:rPr>
          <w:rFonts w:ascii="Times New Roman" w:eastAsia="SimHei"/>
          <w:b/>
          <w:bCs/>
          <w:color w:val="1A2420"/>
          <w:sz w:val="21"/>
          <w:szCs w:val="21"/>
        </w:rPr>
        <w:t xml:space="preserve">表 4-2 分组判决正确率</w:t>
      </w:r>
    </w:p>
    <w:tbl>
      <w:tblPr>
        <w:tblW w:type="pct" w:w="5000"/>
        <w:tblBorders>
          <w:top w:val="single" w:color="9CC5AF" w:sz="4"/>
          <w:left w:val="none"/>
          <w:bottom w:val="single" w:color="9CC5AF" w:sz="4"/>
          <w:right w:val="none"/>
          <w:insideH w:val="single" w:color="D5E5DC" w:sz="2"/>
          <w:insideV w:val="single" w:color="D5E5DC" w:sz="2"/>
        </w:tblBorders>
      </w:tblPr>
      <w:tblGrid>
        <w:gridCol w:w="2109"/>
        <w:gridCol w:w="1406"/>
        <w:gridCol w:w="1845"/>
        <w:gridCol w:w="1845"/>
        <w:gridCol w:w="1582"/>
      </w:tblGrid>
      <w:tr>
        <w:trPr>
          <w:cantSplit/>
          <w:tblHeader/>
        </w:trPr>
        <w:tc>
          <w:tcPr>
            <w:tcW w:type="pct" w:w="12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分组</w:t>
            </w:r>
          </w:p>
        </w:tc>
        <w:tc>
          <w:tcPr>
            <w:tcW w:type="pct" w:w="8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样本数（宽/窄）</w:t>
            </w:r>
          </w:p>
        </w:tc>
        <w:tc>
          <w:tcPr>
            <w:tcW w:type="pct" w:w="105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宽带正确率</w:t>
            </w:r>
          </w:p>
        </w:tc>
        <w:tc>
          <w:tcPr>
            <w:tcW w:type="pct" w:w="105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窄带正确率</w:t>
            </w:r>
          </w:p>
        </w:tc>
        <w:tc>
          <w:tcPr>
            <w:tcW w:type="pct" w:w="9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合计</w:t>
            </w:r>
          </w:p>
        </w:tc>
      </w:tr>
      <w:tr>
        <w:trPr>
          <w:cantSplit/>
        </w:trPr>
        <w:tc>
          <w:tcPr>
            <w:tcW w:type="pct" w:w="1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N1 自然原始</w:t>
            </w:r>
          </w:p>
        </w:tc>
        <w:tc>
          <w:tcPr>
            <w:tcW w:type="pct" w:w="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5 / 5</w:t>
            </w:r>
          </w:p>
        </w:tc>
        <w:tc>
          <w:tcPr>
            <w:tcW w:type="pct" w:w="10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4/5（80%）</w:t>
            </w:r>
          </w:p>
        </w:tc>
        <w:tc>
          <w:tcPr>
            <w:tcW w:type="pct" w:w="10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4/5（80%）</w:t>
            </w:r>
          </w:p>
        </w:tc>
        <w:tc>
          <w:tcPr>
            <w:tcW w:type="pct" w:w="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8/10</w:t>
            </w:r>
          </w:p>
        </w:tc>
      </w:tr>
      <w:tr>
        <w:trPr>
          <w:cantSplit/>
        </w:trPr>
        <w:tc>
          <w:tcPr>
            <w:tcW w:type="pct" w:w="1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N2 自然变体</w:t>
            </w:r>
          </w:p>
        </w:tc>
        <w:tc>
          <w:tcPr>
            <w:tcW w:type="pct" w:w="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20 / 20</w:t>
            </w:r>
          </w:p>
        </w:tc>
        <w:tc>
          <w:tcPr>
            <w:tcW w:type="pct" w:w="10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16/20（80%）</w:t>
            </w:r>
          </w:p>
        </w:tc>
        <w:tc>
          <w:tcPr>
            <w:tcW w:type="pct" w:w="10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16/20（80%）</w:t>
            </w:r>
          </w:p>
        </w:tc>
        <w:tc>
          <w:tcPr>
            <w:tcW w:type="pct" w:w="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32/40</w:t>
            </w:r>
          </w:p>
        </w:tc>
      </w:tr>
      <w:tr>
        <w:trPr>
          <w:cantSplit/>
        </w:trPr>
        <w:tc>
          <w:tcPr>
            <w:tcW w:type="pct" w:w="1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T1 合成校准集</w:t>
            </w:r>
          </w:p>
        </w:tc>
        <w:tc>
          <w:tcPr>
            <w:tcW w:type="pct" w:w="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20 / 20</w:t>
            </w:r>
          </w:p>
        </w:tc>
        <w:tc>
          <w:tcPr>
            <w:tcW w:type="pct" w:w="10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20/20（100%）</w:t>
            </w:r>
          </w:p>
        </w:tc>
        <w:tc>
          <w:tcPr>
            <w:tcW w:type="pct" w:w="10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16/20（80%）</w:t>
            </w:r>
          </w:p>
        </w:tc>
        <w:tc>
          <w:tcPr>
            <w:tcW w:type="pct" w:w="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36/40</w:t>
            </w:r>
          </w:p>
        </w:tc>
      </w:tr>
      <w:tr>
        <w:trPr>
          <w:cantSplit/>
        </w:trPr>
        <w:tc>
          <w:tcPr>
            <w:tcW w:type="pct" w:w="1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T3 合成退化变体</w:t>
            </w:r>
          </w:p>
        </w:tc>
        <w:tc>
          <w:tcPr>
            <w:tcW w:type="pct" w:w="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60 / 60</w:t>
            </w:r>
          </w:p>
        </w:tc>
        <w:tc>
          <w:tcPr>
            <w:tcW w:type="pct" w:w="10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52/60（86.7%）</w:t>
            </w:r>
          </w:p>
        </w:tc>
        <w:tc>
          <w:tcPr>
            <w:tcW w:type="pct" w:w="10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42/60（70%）</w:t>
            </w:r>
          </w:p>
        </w:tc>
        <w:tc>
          <w:tcPr>
            <w:tcW w:type="pct" w:w="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94/120</w:t>
            </w:r>
          </w:p>
        </w:tc>
      </w:tr>
    </w:tbl>
    <w:p>
      <w:pPr>
        <w:spacing w:after="40" w:before="80"/>
        <w:jc w:val="center"/>
      </w:pPr>
      <w:r>
        <w:drawing>
          <wp:inline distT="0" distB="0" distL="0" distR="0">
            <wp:extent cx="4762500" cy="23812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381250"/>
                    </a:xfrm>
                    <a:prstGeom prst="rect">
                      <a:avLst/>
                    </a:prstGeom>
                  </pic:spPr>
                </pic:pic>
              </a:graphicData>
            </a:graphic>
          </wp:inline>
        </w:drawing>
      </w:r>
    </w:p>
    <w:p>
      <w:pPr>
        <w:spacing w:after="160" w:before="40" w:line="280"/>
        <w:jc w:val="left"/>
      </w:pPr>
      <w:r>
        <w:rPr>
          <w:rFonts w:ascii="Times New Roman" w:eastAsia="SimSun"/>
          <w:color w:val="5C6E64"/>
          <w:sz w:val="18"/>
          <w:szCs w:val="18"/>
        </w:rPr>
        <w:t xml:space="preserve">图 4-2 分组判决正确率：抗误报（N 组）与检出（T 组）双信道对照</w:t>
      </w:r>
    </w:p>
    <w:p>
      <w:pPr>
        <w:pStyle w:val="Heading2"/>
        <w:spacing w:after="120" w:before="260" w:line="350" w:lineRule="atLeast"/>
      </w:pPr>
      <w:bookmarkStart w:name="_Toc17" w:id="17"/>
      <w:r>
        <w:rPr>
          <w:rFonts w:ascii="Times New Roman" w:eastAsia="SimHei"/>
          <w:b/>
          <w:bCs/>
          <w:color w:val="0F2419"/>
          <w:sz w:val="30"/>
          <w:szCs w:val="30"/>
        </w:rPr>
        <w:t xml:space="preserve">4.3 判决分数分布与重叠带</w:t>
      </w:r>
      <w:bookmarkEnd w:id="17"/>
    </w:p>
    <w:p>
      <w:pPr>
        <w:spacing w:after="60" w:line="312"/>
        <w:ind w:firstLine="480"/>
        <w:jc w:val="both"/>
      </w:pPr>
      <w:r>
        <w:rPr>
          <w:rFonts w:ascii="Times New Roman" w:eastAsia="SimSun"/>
          <w:b w:val="false"/>
          <w:bCs w:val="false"/>
          <w:color w:val="1A2420"/>
          <w:sz w:val="24"/>
          <w:szCs w:val="24"/>
        </w:rPr>
        <w:t xml:space="preserve">图 4-3 展示了各类样本整段合成置信度（syntheticRatio）的分布。自然人声均值 0.319（区间 0.111–0.682），合成语音宽带均值 0.667（区间 0.451–0.838）、窄带均值 0.584（区间 0.446–0.712）。两类分布在 0.45–0.68 存在重叠带，这一重叠带正是 MEDIUM 档存在的原因：落入该区间的样本会被显式标注为不确定而非硬判，交由用户结合语义与场景判断。这种设计在法医反诈的语音信任辅助场景中尤其重要：对不确定样本，系统的建议是多渠道交叉验证而非直接定论。</w:t>
      </w:r>
    </w:p>
    <w:p>
      <w:pPr>
        <w:spacing w:after="40" w:before="80"/>
        <w:jc w:val="center"/>
      </w:pPr>
      <w:r>
        <w:drawing>
          <wp:inline distT="0" distB="0" distL="0" distR="0">
            <wp:extent cx="4762500" cy="24860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86025"/>
                    </a:xfrm>
                    <a:prstGeom prst="rect">
                      <a:avLst/>
                    </a:prstGeom>
                  </pic:spPr>
                </pic:pic>
              </a:graphicData>
            </a:graphic>
          </wp:inline>
        </w:drawing>
      </w:r>
    </w:p>
    <w:p>
      <w:pPr>
        <w:spacing w:after="160" w:before="40" w:line="280"/>
        <w:jc w:val="left"/>
      </w:pPr>
      <w:r>
        <w:rPr>
          <w:rFonts w:ascii="Times New Roman" w:eastAsia="SimSun"/>
          <w:color w:val="5C6E64"/>
          <w:sz w:val="18"/>
          <w:szCs w:val="18"/>
        </w:rPr>
        <w:t xml:space="preserve">图 4-3 判决分数分布：自然 vs 合成 × 双信道，可见重叠带与 MEDIUM 阈值的关系</w:t>
      </w:r>
    </w:p>
    <w:p>
      <w:pPr>
        <w:pStyle w:val="Heading2"/>
        <w:spacing w:after="120" w:before="260" w:line="350" w:lineRule="atLeast"/>
      </w:pPr>
      <w:bookmarkStart w:name="_Toc18" w:id="18"/>
      <w:r>
        <w:rPr>
          <w:rFonts w:ascii="Times New Roman" w:eastAsia="SimHei"/>
          <w:b/>
          <w:bCs/>
          <w:color w:val="0F2419"/>
          <w:sz w:val="30"/>
          <w:szCs w:val="30"/>
        </w:rPr>
        <w:t xml:space="preserve">4.4 分音色检出表现</w:t>
      </w:r>
      <w:bookmarkEnd w:id="18"/>
    </w:p>
    <w:p>
      <w:pPr>
        <w:spacing w:after="60" w:line="312"/>
        <w:ind w:firstLine="480"/>
        <w:jc w:val="both"/>
      </w:pPr>
      <w:r>
        <w:rPr>
          <w:rFonts w:ascii="Times New Roman" w:eastAsia="SimSun"/>
          <w:b w:val="false"/>
          <w:bCs w:val="false"/>
          <w:color w:val="1A2420"/>
          <w:sz w:val="24"/>
          <w:szCs w:val="24"/>
        </w:rPr>
        <w:t xml:space="preserve">按音色拆分的检出率（T1+T3 全部合成判决，宽带+窄带合并）见表 4-3。七个音色中四个（chuichui、tongtong、luodo、douji）检出率达 83%以上，其中 chuichui 全部 24 条判决无一漏报；两个音色（jam、kazi）位于 62%–75%；xiaochen 仅 50%。音色间差异反映了不同神经声码器实现的声学特征强弱不同：声码器容错修正越充分，器械印记（谱通量不连续、高频谐波延展）越弱，轻量特征引擎的检出难度也相应提升。这一现象与引擎采用声码器指纹路线的设计假设一致，也是后续引入深度模型集成的动因之一。</w:t>
      </w:r>
    </w:p>
    <w:p>
      <w:pPr>
        <w:keepNext/>
        <w:spacing w:after="80" w:before="200"/>
        <w:jc w:val="center"/>
      </w:pPr>
      <w:r>
        <w:rPr>
          <w:rFonts w:ascii="Times New Roman" w:eastAsia="SimHei"/>
          <w:b/>
          <w:bCs/>
          <w:color w:val="1A2420"/>
          <w:sz w:val="21"/>
          <w:szCs w:val="21"/>
        </w:rPr>
        <w:t xml:space="preserve">表 4-3 分音色检出率（T1+T3，宽带+窄带合并）</w:t>
      </w:r>
    </w:p>
    <w:tbl>
      <w:tblPr>
        <w:tblW w:type="pct" w:w="5000"/>
        <w:tblBorders>
          <w:top w:val="single" w:color="9CC5AF" w:sz="4"/>
          <w:left w:val="none"/>
          <w:bottom w:val="single" w:color="9CC5AF" w:sz="4"/>
          <w:right w:val="none"/>
          <w:insideH w:val="single" w:color="D5E5DC" w:sz="2"/>
          <w:insideV w:val="single" w:color="D5E5DC" w:sz="2"/>
        </w:tblBorders>
      </w:tblPr>
      <w:tblGrid>
        <w:gridCol w:w="3515"/>
        <w:gridCol w:w="2636"/>
        <w:gridCol w:w="2636"/>
      </w:tblGrid>
      <w:tr>
        <w:trPr>
          <w:cantSplit/>
          <w:tblHeader/>
        </w:trPr>
        <w:tc>
          <w:tcPr>
            <w:tcW w:type="pct" w:w="20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音色</w:t>
            </w:r>
          </w:p>
        </w:tc>
        <w:tc>
          <w:tcPr>
            <w:tcW w:type="pct" w:w="15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检出/总判决</w:t>
            </w:r>
          </w:p>
        </w:tc>
        <w:tc>
          <w:tcPr>
            <w:tcW w:type="pct" w:w="15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检出率</w:t>
            </w:r>
          </w:p>
        </w:tc>
      </w:tr>
      <w:tr>
        <w:trPr>
          <w:cantSplit/>
        </w:trPr>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chuichui</w:t>
            </w:r>
          </w:p>
        </w:tc>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24 / 24</w:t>
            </w:r>
          </w:p>
        </w:tc>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100%</w:t>
            </w:r>
          </w:p>
        </w:tc>
      </w:tr>
      <w:tr>
        <w:trPr>
          <w:cantSplit/>
        </w:trPr>
        <w:tc>
          <w:tcPr>
            <w:tcW w:type="pct" w:w="20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tongtong</w:t>
            </w:r>
          </w:p>
        </w:tc>
        <w:tc>
          <w:tcPr>
            <w:tcW w:type="pct" w:w="15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23 / 24</w:t>
            </w:r>
          </w:p>
        </w:tc>
        <w:tc>
          <w:tcPr>
            <w:tcW w:type="pct" w:w="15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95.8%</w:t>
            </w:r>
          </w:p>
        </w:tc>
      </w:tr>
      <w:tr>
        <w:trPr>
          <w:cantSplit/>
        </w:trPr>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luodo</w:t>
            </w:r>
          </w:p>
        </w:tc>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22 / 24</w:t>
            </w:r>
          </w:p>
        </w:tc>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91.7%</w:t>
            </w:r>
          </w:p>
        </w:tc>
      </w:tr>
      <w:tr>
        <w:trPr>
          <w:cantSplit/>
        </w:trPr>
        <w:tc>
          <w:tcPr>
            <w:tcW w:type="pct" w:w="20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douji</w:t>
            </w:r>
          </w:p>
        </w:tc>
        <w:tc>
          <w:tcPr>
            <w:tcW w:type="pct" w:w="15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20 / 24</w:t>
            </w:r>
          </w:p>
        </w:tc>
        <w:tc>
          <w:tcPr>
            <w:tcW w:type="pct" w:w="15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83.3%</w:t>
            </w:r>
          </w:p>
        </w:tc>
      </w:tr>
      <w:tr>
        <w:trPr>
          <w:cantSplit/>
        </w:trPr>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jam</w:t>
            </w:r>
          </w:p>
        </w:tc>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18 / 24</w:t>
            </w:r>
          </w:p>
        </w:tc>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75.0%</w:t>
            </w:r>
          </w:p>
        </w:tc>
      </w:tr>
      <w:tr>
        <w:trPr>
          <w:cantSplit/>
        </w:trPr>
        <w:tc>
          <w:tcPr>
            <w:tcW w:type="pct" w:w="20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kazi</w:t>
            </w:r>
          </w:p>
        </w:tc>
        <w:tc>
          <w:tcPr>
            <w:tcW w:type="pct" w:w="15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15 / 24</w:t>
            </w:r>
          </w:p>
        </w:tc>
        <w:tc>
          <w:tcPr>
            <w:tcW w:type="pct" w:w="15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62.5%</w:t>
            </w:r>
          </w:p>
        </w:tc>
      </w:tr>
      <w:tr>
        <w:trPr>
          <w:cantSplit/>
        </w:trPr>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xiaochen（样本较少）</w:t>
            </w:r>
          </w:p>
        </w:tc>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8 / 16</w:t>
            </w:r>
          </w:p>
        </w:tc>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50.0%</w:t>
            </w:r>
          </w:p>
        </w:tc>
      </w:tr>
    </w:tbl>
    <w:p>
      <w:pPr>
        <w:pStyle w:val="Heading2"/>
        <w:spacing w:after="120" w:before="260" w:line="350" w:lineRule="atLeast"/>
      </w:pPr>
      <w:bookmarkStart w:name="_Toc19" w:id="19"/>
      <w:r>
        <w:rPr>
          <w:rFonts w:ascii="Times New Roman" w:eastAsia="SimHei"/>
          <w:b/>
          <w:bCs/>
          <w:color w:val="0F2419"/>
          <w:sz w:val="30"/>
          <w:szCs w:val="30"/>
        </w:rPr>
        <w:t xml:space="preserve">4.5 特征有效性验证</w:t>
      </w:r>
      <w:bookmarkEnd w:id="19"/>
    </w:p>
    <w:p>
      <w:pPr>
        <w:spacing w:after="60" w:line="312"/>
        <w:ind w:firstLine="480"/>
        <w:jc w:val="both"/>
      </w:pPr>
      <w:r>
        <w:rPr>
          <w:rFonts w:ascii="Times New Roman" w:eastAsia="SimSun"/>
          <w:b w:val="false"/>
          <w:bCs w:val="false"/>
          <w:color w:val="1A2420"/>
          <w:sz w:val="24"/>
          <w:szCs w:val="24"/>
        </w:rPr>
        <w:t xml:space="preserve">图 4-4（引自技术报告图表体系）展示了八维声学特征在自然人声与神经合成语音之间的类间分离度。谐波规整度（hnr）、过零率波动度（zcrCV）、谱通量波动度（fluxCV）与高频周期性（hfPeriodicity）构成判别主力；而高频谱平坦度（hfFlatness）的分离度仅 0.10，在数据驱动校准中权重趋零——这是一个值得强调的证伪结果：设计阶段曾假设该特征有效，但实测数据证伪了这一假设，引擎随即将其从主权重中剔除。这一细节体现了数据驱动校准方法论的严谨性，也是引擎可解释性的直接证据。</w:t>
      </w:r>
    </w:p>
    <w:p>
      <w:pPr>
        <w:spacing w:after="40" w:before="80"/>
        <w:jc w:val="center"/>
      </w:pPr>
      <w:r>
        <w:drawing>
          <wp:inline distT="0" distB="0" distL="0" distR="0">
            <wp:extent cx="4572000" cy="24384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38400"/>
                    </a:xfrm>
                    <a:prstGeom prst="rect">
                      <a:avLst/>
                    </a:prstGeom>
                  </pic:spPr>
                </pic:pic>
              </a:graphicData>
            </a:graphic>
          </wp:inline>
        </w:drawing>
      </w:r>
    </w:p>
    <w:p>
      <w:pPr>
        <w:spacing w:after="160" w:before="40" w:line="280"/>
        <w:jc w:val="left"/>
      </w:pPr>
      <w:r>
        <w:rPr>
          <w:rFonts w:ascii="Times New Roman" w:eastAsia="SimSun"/>
          <w:color w:val="5C6E64"/>
          <w:sz w:val="18"/>
          <w:szCs w:val="18"/>
        </w:rPr>
        <w:t xml:space="preserve">图 4-4 八维声学特征的类间分离度（宽带/窄带）；参考线 1.0 为可用性门槛</w:t>
      </w:r>
    </w:p>
    <w:p>
      <w:pPr>
        <w:pStyle w:val="Heading1"/>
        <w:spacing w:after="160" w:before="360" w:line="380" w:lineRule="atLeast"/>
      </w:pPr>
      <w:bookmarkStart w:name="_Toc20" w:id="20"/>
      <w:r>
        <w:rPr>
          <w:rFonts w:ascii="Times New Roman" w:eastAsia="SimHei"/>
          <w:b/>
          <w:bCs/>
          <w:color w:val="0F2419"/>
          <w:sz w:val="32"/>
          <w:szCs w:val="32"/>
        </w:rPr>
        <w:t xml:space="preserve">第五章 鲁棒性测试结果</w:t>
      </w:r>
      <w:bookmarkEnd w:id="20"/>
    </w:p>
    <w:p>
      <w:pPr>
        <w:pStyle w:val="Heading2"/>
        <w:spacing w:after="120" w:before="260" w:line="350" w:lineRule="atLeast"/>
      </w:pPr>
      <w:bookmarkStart w:name="_Toc21" w:id="21"/>
      <w:r>
        <w:rPr>
          <w:rFonts w:ascii="Times New Roman" w:eastAsia="SimHei"/>
          <w:b/>
          <w:bCs/>
          <w:color w:val="0F2419"/>
          <w:sz w:val="30"/>
          <w:szCs w:val="30"/>
        </w:rPr>
        <w:t xml:space="preserve">5.1 抗误报鲁棒性（N2 组）</w:t>
      </w:r>
      <w:bookmarkEnd w:id="21"/>
    </w:p>
    <w:p>
      <w:pPr>
        <w:spacing w:after="60" w:line="312"/>
        <w:ind w:firstLine="480"/>
        <w:jc w:val="both"/>
      </w:pPr>
      <w:r>
        <w:rPr>
          <w:rFonts w:ascii="Times New Roman" w:eastAsia="SimSun"/>
          <w:b w:val="false"/>
          <w:bCs w:val="false"/>
          <w:color w:val="1A2420"/>
          <w:sz w:val="24"/>
          <w:szCs w:val="24"/>
        </w:rPr>
        <w:t xml:space="preserve">N2 组的 40 条变体判决中 32 条正确放行。关键发现是：全部 8 条误报均来自同一个样本源（重压缩公有领域有声书 ws_librivox）的 4 类变体在双信道下的全部判决；其余 4 个自然样本源的原始样本与全部 16 条变体判决（含 ±6 dB 增益、1.05 变速、20 dB 加噪×双信道）无一误报。这说明两个结论：其一，增益、变速、加噪等扰动本身不会向引擎引入新的误报模式，误报与扰动类型无关而与样本源强相关，属于样本特异性误报而非扰动敏感性误报；其二，对该边界样本的误报具有一致性（原始与全部变体均被判为 HIGH，分数 0.56–0.68），可见其偏离不是随机波动而是系统性偏离，机理分析见 8.1 节。</w:t>
      </w:r>
    </w:p>
    <w:p>
      <w:pPr>
        <w:pStyle w:val="Heading2"/>
        <w:spacing w:after="120" w:before="260" w:line="350" w:lineRule="atLeast"/>
      </w:pPr>
      <w:bookmarkStart w:name="_Toc22" w:id="22"/>
      <w:r>
        <w:rPr>
          <w:rFonts w:ascii="Times New Roman" w:eastAsia="SimHei"/>
          <w:b/>
          <w:bCs/>
          <w:color w:val="0F2419"/>
          <w:sz w:val="30"/>
          <w:szCs w:val="30"/>
        </w:rPr>
        <w:t xml:space="preserve">5.2 检出鲁棒性（T3 组）</w:t>
      </w:r>
      <w:bookmarkEnd w:id="22"/>
    </w:p>
    <w:p>
      <w:pPr>
        <w:spacing w:after="60" w:line="312"/>
        <w:ind w:firstLine="480"/>
        <w:jc w:val="both"/>
      </w:pPr>
      <w:r>
        <w:rPr>
          <w:rFonts w:ascii="Times New Roman" w:eastAsia="SimSun"/>
          <w:b w:val="false"/>
          <w:bCs w:val="false"/>
          <w:color w:val="1A2420"/>
          <w:sz w:val="24"/>
          <w:szCs w:val="24"/>
        </w:rPr>
        <w:t xml:space="preserve">T3 组按退化类型与信道拆分的检出率见表 5-1 与图 5-1。宽带条件下，20 dB 加噪对检出率零影响（20/20，100%）——加性噪声抬高了高频背景但不掩盖声码器器械印记；1.05 倍变速仅影响 1 条（95%）；而 MP3 64 kbps 编解码往返的影响最为显著（13/20，65%），因为有损压缩会重塑高频谐波结构与帧边界形态，直接削弱了引擎依赖的声码器指纹。窄带叠加复合退化（带通滤波+底噪再叠加退化）时检出率进一步下降，加噪组降至 55%，但 MP3 组在窄带下反而回升至 75%——压缩噪声在低频段对特征的干扰与带通滤波存在部分抵消。总体而言，在未叠加编解码的直接通话场景中，引擎检出率维持在 80% 以上；带压缩的语音消息场景是当前轻量引擎的主要短板。</w:t>
      </w:r>
    </w:p>
    <w:p>
      <w:pPr>
        <w:keepNext/>
        <w:spacing w:after="80" w:before="200"/>
        <w:jc w:val="center"/>
      </w:pPr>
      <w:r>
        <w:rPr>
          <w:rFonts w:ascii="Times New Roman" w:eastAsia="SimHei"/>
          <w:b/>
          <w:bCs/>
          <w:color w:val="1A2420"/>
          <w:sz w:val="21"/>
          <w:szCs w:val="21"/>
        </w:rPr>
        <w:t xml:space="preserve">表 5-1 T3 组分退化类型检出率</w:t>
      </w:r>
    </w:p>
    <w:tbl>
      <w:tblPr>
        <w:tblW w:type="pct" w:w="5000"/>
        <w:tblBorders>
          <w:top w:val="single" w:color="9CC5AF" w:sz="4"/>
          <w:left w:val="none"/>
          <w:bottom w:val="single" w:color="9CC5AF" w:sz="4"/>
          <w:right w:val="none"/>
          <w:insideH w:val="single" w:color="D5E5DC" w:sz="2"/>
          <w:insideV w:val="single" w:color="D5E5DC" w:sz="2"/>
        </w:tblBorders>
      </w:tblPr>
      <w:tblGrid>
        <w:gridCol w:w="3164"/>
        <w:gridCol w:w="2812"/>
        <w:gridCol w:w="2812"/>
      </w:tblGrid>
      <w:tr>
        <w:trPr>
          <w:cantSplit/>
          <w:tblHeader/>
        </w:trPr>
        <w:tc>
          <w:tcPr>
            <w:tcW w:type="pct" w:w="18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退化类型</w:t>
            </w:r>
          </w:p>
        </w:tc>
        <w:tc>
          <w:tcPr>
            <w:tcW w:type="pct" w:w="16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宽带检出率</w:t>
            </w:r>
          </w:p>
        </w:tc>
        <w:tc>
          <w:tcPr>
            <w:tcW w:type="pct" w:w="16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窄带检出率</w:t>
            </w:r>
          </w:p>
        </w:tc>
      </w:tr>
      <w:tr>
        <w:trPr>
          <w:cantSplit/>
        </w:trPr>
        <w:tc>
          <w:tcPr>
            <w:tcW w:type="pct" w:w="1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20 dB 加性噪声</w:t>
            </w:r>
          </w:p>
        </w:tc>
        <w:tc>
          <w:tcPr>
            <w:tcW w:type="pct" w:w="1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20/20（100%）</w:t>
            </w:r>
          </w:p>
        </w:tc>
        <w:tc>
          <w:tcPr>
            <w:tcW w:type="pct" w:w="1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11/20（55%）</w:t>
            </w:r>
          </w:p>
        </w:tc>
      </w:tr>
      <w:tr>
        <w:trPr>
          <w:cantSplit/>
        </w:trPr>
        <w:tc>
          <w:tcPr>
            <w:tcW w:type="pct" w:w="1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1.05 倍变速</w:t>
            </w:r>
          </w:p>
        </w:tc>
        <w:tc>
          <w:tcPr>
            <w:tcW w:type="pct" w:w="1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19/20（95%）</w:t>
            </w:r>
          </w:p>
        </w:tc>
        <w:tc>
          <w:tcPr>
            <w:tcW w:type="pct" w:w="1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16/20（80%）</w:t>
            </w:r>
          </w:p>
        </w:tc>
      </w:tr>
      <w:tr>
        <w:trPr>
          <w:cantSplit/>
        </w:trPr>
        <w:tc>
          <w:tcPr>
            <w:tcW w:type="pct" w:w="1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MP3 64 kbps 编解码</w:t>
            </w:r>
          </w:p>
        </w:tc>
        <w:tc>
          <w:tcPr>
            <w:tcW w:type="pct" w:w="1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13/20（65%）</w:t>
            </w:r>
          </w:p>
        </w:tc>
        <w:tc>
          <w:tcPr>
            <w:tcW w:type="pct" w:w="1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15/20（75%）</w:t>
            </w:r>
          </w:p>
        </w:tc>
      </w:tr>
    </w:tbl>
    <w:p>
      <w:pPr>
        <w:spacing w:after="40" w:before="80"/>
        <w:jc w:val="center"/>
      </w:pPr>
      <w:r>
        <w:drawing>
          <wp:inline distT="0" distB="0" distL="0" distR="0">
            <wp:extent cx="4953000" cy="21336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133600"/>
                    </a:xfrm>
                    <a:prstGeom prst="rect">
                      <a:avLst/>
                    </a:prstGeom>
                  </pic:spPr>
                </pic:pic>
              </a:graphicData>
            </a:graphic>
          </wp:inline>
        </w:drawing>
      </w:r>
    </w:p>
    <w:p>
      <w:pPr>
        <w:spacing w:after="160" w:before="40" w:line="280"/>
        <w:jc w:val="left"/>
      </w:pPr>
      <w:r>
        <w:rPr>
          <w:rFonts w:ascii="Times New Roman" w:eastAsia="SimSun"/>
          <w:color w:val="5C6E64"/>
          <w:sz w:val="18"/>
          <w:szCs w:val="18"/>
        </w:rPr>
        <w:t xml:space="preserve">图 5-1 左：退化类型×信道检出率；右：分音色检出率（T1+T3 合并）</w:t>
      </w:r>
    </w:p>
    <w:p>
      <w:pPr>
        <w:pStyle w:val="Heading2"/>
        <w:spacing w:after="120" w:before="260" w:line="350" w:lineRule="atLeast"/>
      </w:pPr>
      <w:bookmarkStart w:name="_Toc23" w:id="23"/>
      <w:r>
        <w:rPr>
          <w:rFonts w:ascii="Times New Roman" w:eastAsia="SimHei"/>
          <w:b/>
          <w:bCs/>
          <w:color w:val="0F2419"/>
          <w:sz w:val="30"/>
          <w:szCs w:val="30"/>
        </w:rPr>
        <w:t xml:space="preserve">5.3 信道退化影响分析</w:t>
      </w:r>
      <w:bookmarkEnd w:id="23"/>
    </w:p>
    <w:p>
      <w:pPr>
        <w:spacing w:after="60" w:line="312"/>
        <w:ind w:firstLine="480"/>
        <w:jc w:val="both"/>
      </w:pPr>
      <w:r>
        <w:rPr>
          <w:rFonts w:ascii="Times New Roman" w:eastAsia="SimSun"/>
          <w:b w:val="false"/>
          <w:bCs w:val="false"/>
          <w:color w:val="1A2420"/>
          <w:sz w:val="24"/>
          <w:szCs w:val="24"/>
        </w:rPr>
        <w:t xml:space="preserve">对比同一批合成样本在两种信道下的表现：平均判决分数从宽带 0.667 降至窄带 0.584，召回率从 90.0% 降至 72.5%。降幅的机理很直接：300–3400 Hz 带通滤波剥夺了全部高频特征的输入（hfEnergyRatio、hfFlatness、hfPeriodicity 三维在窄带下失效），引擎必须依靠剩余低频特征维持判别。值得注意的是，校准阶段针对窄带信道单独拟合了一组自然先验与权重，其效果在本次测试中得到验证：过零率波动度（zcrCV）在窄带信道的类间分离度为 1.90，反而高于宽带的 1.25——信道自适应权重切换有效地补偿了高频特征的失效。误报侧则完全未受信道切换影响（两信道均为 5 条、同一样本源），说明自然先验的稳健性在两种信道下都成立。</w:t>
      </w:r>
    </w:p>
    <w:p>
      <w:pPr>
        <w:pStyle w:val="Heading1"/>
        <w:spacing w:after="160" w:before="360" w:line="380" w:lineRule="atLeast"/>
      </w:pPr>
      <w:bookmarkStart w:name="_Toc24" w:id="24"/>
      <w:r>
        <w:rPr>
          <w:rFonts w:ascii="Times New Roman" w:eastAsia="SimHei"/>
          <w:b/>
          <w:bCs/>
          <w:color w:val="0F2419"/>
          <w:sz w:val="32"/>
          <w:szCs w:val="32"/>
        </w:rPr>
        <w:t xml:space="preserve">第六章 实时性测试结果</w:t>
      </w:r>
      <w:bookmarkEnd w:id="24"/>
    </w:p>
    <w:p>
      <w:pPr>
        <w:pStyle w:val="Heading2"/>
        <w:spacing w:after="120" w:before="260" w:line="350" w:lineRule="atLeast"/>
      </w:pPr>
      <w:bookmarkStart w:name="_Toc25" w:id="25"/>
      <w:r>
        <w:rPr>
          <w:rFonts w:ascii="Times New Roman" w:eastAsia="SimHei"/>
          <w:b/>
          <w:bCs/>
          <w:color w:val="0F2419"/>
          <w:sz w:val="30"/>
          <w:szCs w:val="30"/>
        </w:rPr>
        <w:t xml:space="preserve">6.1 单窗分析时延微基准</w:t>
      </w:r>
      <w:bookmarkEnd w:id="25"/>
    </w:p>
    <w:p>
      <w:pPr>
        <w:spacing w:after="60" w:line="312"/>
        <w:ind w:firstLine="480"/>
        <w:jc w:val="both"/>
      </w:pPr>
      <w:r>
        <w:rPr>
          <w:rFonts w:ascii="Times New Roman" w:eastAsia="SimSun"/>
          <w:b w:val="false"/>
          <w:bCs w:val="false"/>
          <w:color w:val="1A2420"/>
          <w:sz w:val="24"/>
          <w:szCs w:val="24"/>
        </w:rPr>
        <w:t xml:space="preserve">实时鉴听的核心性能问题是单个 2 秒窗口从数据就续到完成分析的耗时。测试套件从全部自然与合成样本中挑选 160 个有能量的 2 秒窗口逐个计时（JIT 预热后执行），结果见表 6-1 与图 6-1：单窗分析时延均值 6.88 毫秒、中位数 7.09 毫秒、P95 为 8.72 毫秒、P99 为 9.15 毫秒、最大值 9.73 毫秒。即使按最大值计，单窗处理时延也仅为窗口时长的 0.5%，处理环节对端到端时延的贡献可以忽略不计。</w:t>
      </w:r>
    </w:p>
    <w:p>
      <w:pPr>
        <w:pStyle w:val="Heading2"/>
        <w:spacing w:after="120" w:before="260" w:line="350" w:lineRule="atLeast"/>
      </w:pPr>
      <w:bookmarkStart w:name="_Toc26" w:id="26"/>
      <w:r>
        <w:rPr>
          <w:rFonts w:ascii="Times New Roman" w:eastAsia="SimHei"/>
          <w:b/>
          <w:bCs/>
          <w:color w:val="0F2419"/>
          <w:sz w:val="30"/>
          <w:szCs w:val="30"/>
        </w:rPr>
        <w:t xml:space="preserve">6.2 整段分析实时因子（RTF）</w:t>
      </w:r>
      <w:bookmarkEnd w:id="26"/>
    </w:p>
    <w:p>
      <w:pPr>
        <w:spacing w:after="60" w:line="312"/>
        <w:ind w:firstLine="480"/>
        <w:jc w:val="both"/>
      </w:pPr>
      <w:r>
        <w:rPr>
          <w:rFonts w:ascii="Times New Roman" w:eastAsia="SimSun"/>
          <w:b w:val="false"/>
          <w:bCs w:val="false"/>
          <w:color w:val="1A2420"/>
          <w:sz w:val="24"/>
          <w:szCs w:val="24"/>
        </w:rPr>
        <w:t xml:space="preserve">210 条整段分析的实时因子统计同样见表 6-1：RTF 中位数 0.0064、P95 为 0.0082、最大值 0.0118。按中位数折算，单核 CPU 可同时承担约 156 路实时音频流的分析负载（1/RTF）；即使按最大值计算也有约 85 路。数十秒级的通话音频在不到一秒内即可完成整段复核，这为服务端存证复核、批量案例重审与历史检测复盘提供了充趵的计算余量。需要强调，上述结果均在无 GPU 、仅 2 核 CPU 的环境下取得。</w:t>
      </w:r>
    </w:p>
    <w:p>
      <w:pPr>
        <w:keepNext/>
        <w:spacing w:after="80" w:before="200"/>
        <w:jc w:val="center"/>
      </w:pPr>
      <w:r>
        <w:rPr>
          <w:rFonts w:ascii="Times New Roman" w:eastAsia="SimHei"/>
          <w:b/>
          <w:bCs/>
          <w:color w:val="1A2420"/>
          <w:sz w:val="21"/>
          <w:szCs w:val="21"/>
        </w:rPr>
        <w:t xml:space="preserve">表 6-1 实时性指标汇总（纯 CPU）</w:t>
      </w:r>
    </w:p>
    <w:tbl>
      <w:tblPr>
        <w:tblW w:type="pct" w:w="5000"/>
        <w:tblBorders>
          <w:top w:val="single" w:color="9CC5AF" w:sz="4"/>
          <w:left w:val="none"/>
          <w:bottom w:val="single" w:color="9CC5AF" w:sz="4"/>
          <w:right w:val="none"/>
          <w:insideH w:val="single" w:color="D5E5DC" w:sz="2"/>
          <w:insideV w:val="single" w:color="D5E5DC" w:sz="2"/>
        </w:tblBorders>
      </w:tblPr>
      <w:tblGrid>
        <w:gridCol w:w="2988"/>
        <w:gridCol w:w="1142"/>
        <w:gridCol w:w="1318"/>
        <w:gridCol w:w="1142"/>
        <w:gridCol w:w="1055"/>
        <w:gridCol w:w="1142"/>
      </w:tblGrid>
      <w:tr>
        <w:trPr>
          <w:cantSplit/>
          <w:tblHeader/>
        </w:trPr>
        <w:tc>
          <w:tcPr>
            <w:tcW w:type="pct" w:w="17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指标</w:t>
            </w:r>
          </w:p>
        </w:tc>
        <w:tc>
          <w:tcPr>
            <w:tcW w:type="pct" w:w="65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均值</w:t>
            </w:r>
          </w:p>
        </w:tc>
        <w:tc>
          <w:tcPr>
            <w:tcW w:type="pct" w:w="75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中位数 P50</w:t>
            </w:r>
          </w:p>
        </w:tc>
        <w:tc>
          <w:tcPr>
            <w:tcW w:type="pct" w:w="65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P95</w:t>
            </w:r>
          </w:p>
        </w:tc>
        <w:tc>
          <w:tcPr>
            <w:tcW w:type="pct" w:w="6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P99</w:t>
            </w:r>
          </w:p>
        </w:tc>
        <w:tc>
          <w:tcPr>
            <w:tcW w:type="pct" w:w="65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最大值</w:t>
            </w:r>
          </w:p>
        </w:tc>
      </w:tr>
      <w:tr>
        <w:trPr>
          <w:cantSplit/>
        </w:trPr>
        <w:tc>
          <w:tcPr>
            <w:tcW w:type="pct" w:w="1700"/>
            <w:tcMar>
              <w:top w:type="dxa" w:w="70"/>
              <w:left w:type="dxa" w:w="110"/>
              <w:bottom w:type="dxa" w:w="70"/>
              <w:right w:type="dxa" w:w="110"/>
            </w:tcMar>
          </w:tcPr>
          <w:p>
            <w:pPr>
              <w:spacing w:line="280"/>
              <w:jc w:val="left"/>
            </w:pPr>
            <w:r>
              <w:rPr>
                <w:rFonts w:ascii="Times New Roman" w:eastAsia="SimSun"/>
                <w:b/>
                <w:bCs/>
                <w:color w:val="1A2420"/>
                <w:sz w:val="20"/>
                <w:szCs w:val="20"/>
              </w:rPr>
              <w:t xml:space="preserve">单窗（2s）分析时延 / ms</w:t>
            </w:r>
          </w:p>
        </w:tc>
        <w:tc>
          <w:tcPr>
            <w:tcW w:type="pct" w:w="6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6.88</w:t>
            </w:r>
          </w:p>
        </w:tc>
        <w:tc>
          <w:tcPr>
            <w:tcW w:type="pct" w:w="7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7.09</w:t>
            </w:r>
          </w:p>
        </w:tc>
        <w:tc>
          <w:tcPr>
            <w:tcW w:type="pct" w:w="6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8.72</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9.15</w:t>
            </w:r>
          </w:p>
        </w:tc>
        <w:tc>
          <w:tcPr>
            <w:tcW w:type="pct" w:w="6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9.73</w:t>
            </w:r>
          </w:p>
        </w:tc>
      </w:tr>
      <w:tr>
        <w:trPr>
          <w:cantSplit/>
        </w:trPr>
        <w:tc>
          <w:tcPr>
            <w:tcW w:type="pct" w:w="1700"/>
            <w:tcMar>
              <w:top w:type="dxa" w:w="70"/>
              <w:left w:type="dxa" w:w="110"/>
              <w:bottom w:type="dxa" w:w="70"/>
              <w:right w:type="dxa" w:w="110"/>
            </w:tcMar>
          </w:tcPr>
          <w:p>
            <w:pPr>
              <w:spacing w:line="280"/>
              <w:jc w:val="left"/>
            </w:pPr>
            <w:r>
              <w:rPr>
                <w:rFonts w:ascii="Times New Roman" w:eastAsia="SimSun"/>
                <w:b/>
                <w:bCs/>
                <w:color w:val="1A2420"/>
                <w:sz w:val="20"/>
                <w:szCs w:val="20"/>
              </w:rPr>
              <w:t xml:space="preserve">整段分析 RTF</w:t>
            </w:r>
          </w:p>
        </w:tc>
        <w:tc>
          <w:tcPr>
            <w:tcW w:type="pct" w:w="6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0.0066</w:t>
            </w:r>
          </w:p>
        </w:tc>
        <w:tc>
          <w:tcPr>
            <w:tcW w:type="pct" w:w="7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0.0064</w:t>
            </w:r>
          </w:p>
        </w:tc>
        <w:tc>
          <w:tcPr>
            <w:tcW w:type="pct" w:w="6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0.0082</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c>
          <w:tcPr>
            <w:tcW w:type="pct" w:w="6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0.0118</w:t>
            </w:r>
          </w:p>
        </w:tc>
      </w:tr>
    </w:tbl>
    <w:p>
      <w:pPr>
        <w:spacing w:after="40" w:before="80"/>
        <w:jc w:val="center"/>
      </w:pPr>
      <w:r>
        <w:drawing>
          <wp:inline distT="0" distB="0" distL="0" distR="0">
            <wp:extent cx="4953000" cy="21717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171700"/>
                    </a:xfrm>
                    <a:prstGeom prst="rect">
                      <a:avLst/>
                    </a:prstGeom>
                  </pic:spPr>
                </pic:pic>
              </a:graphicData>
            </a:graphic>
          </wp:inline>
        </w:drawing>
      </w:r>
    </w:p>
    <w:p>
      <w:pPr>
        <w:spacing w:after="160" w:before="40" w:line="280"/>
        <w:jc w:val="left"/>
      </w:pPr>
      <w:r>
        <w:rPr>
          <w:rFonts w:ascii="Times New Roman" w:eastAsia="SimSun"/>
          <w:color w:val="5C6E64"/>
          <w:sz w:val="18"/>
          <w:szCs w:val="18"/>
        </w:rPr>
        <w:t xml:space="preserve">图 6-1 左：单窗分析时延（对数轴）与 1000ms 判决预算；右：整段 RTF 与实时线对照</w:t>
      </w:r>
    </w:p>
    <w:p>
      <w:pPr>
        <w:pStyle w:val="Heading2"/>
        <w:spacing w:after="120" w:before="260" w:line="350" w:lineRule="atLeast"/>
      </w:pPr>
      <w:bookmarkStart w:name="_Toc27" w:id="27"/>
      <w:r>
        <w:rPr>
          <w:rFonts w:ascii="Times New Roman" w:eastAsia="SimHei"/>
          <w:b/>
          <w:bCs/>
          <w:color w:val="0F2419"/>
          <w:sz w:val="30"/>
          <w:szCs w:val="30"/>
        </w:rPr>
        <w:t xml:space="preserve">6.3 端到端判决时延预算论证</w:t>
      </w:r>
      <w:bookmarkEnd w:id="27"/>
    </w:p>
    <w:p>
      <w:pPr>
        <w:spacing w:after="60" w:line="312"/>
        <w:ind w:firstLine="480"/>
        <w:jc w:val="both"/>
      </w:pPr>
      <w:r>
        <w:rPr>
          <w:rFonts w:ascii="Times New Roman" w:eastAsia="SimSun"/>
          <w:b w:val="false"/>
          <w:bCs w:val="false"/>
          <w:color w:val="1A2420"/>
          <w:sz w:val="24"/>
          <w:szCs w:val="24"/>
        </w:rPr>
        <w:t xml:space="preserve">实时鉴听场景下，用户感知的是从说话内容发出到屏幕上出现判决的延迟。声盾的架构保证该时延由三段叠加而成：窗口数据采集（由 2 秒窗长与 1 秒步进设计决定，每秒都有新窗完成）、单窗分析（P99 为 9.15 毫秒）、前端轮询（最长 1 秒）。因此从窗口数据就续到屏幕呈现的判决时延不超过约 1.01 秒，满足「边通话边检测」的体验预算；而首次判决在通话开始后最长 3 秒内就会出现（含首窗采集）。与传统离线检测方案相比，这一时延特性正是声盾与既有获奖作品（如离线文件检测类）拉开差距的硬指标之一。</w:t>
      </w:r>
    </w:p>
    <w:p>
      <w:pPr>
        <w:pStyle w:val="Heading2"/>
        <w:spacing w:after="120" w:before="260" w:line="350" w:lineRule="atLeast"/>
      </w:pPr>
      <w:bookmarkStart w:name="_Toc28" w:id="28"/>
      <w:r>
        <w:rPr>
          <w:rFonts w:ascii="Times New Roman" w:eastAsia="SimHei"/>
          <w:b/>
          <w:bCs/>
          <w:color w:val="0F2419"/>
          <w:sz w:val="30"/>
          <w:szCs w:val="30"/>
        </w:rPr>
        <w:t xml:space="preserve">6.4 吞吐与部署余量</w:t>
      </w:r>
      <w:bookmarkEnd w:id="28"/>
    </w:p>
    <w:p>
      <w:pPr>
        <w:spacing w:after="60" w:line="312"/>
        <w:ind w:firstLine="480"/>
        <w:jc w:val="both"/>
      </w:pPr>
      <w:r>
        <w:rPr>
          <w:rFonts w:ascii="Times New Roman" w:eastAsia="SimSun"/>
          <w:b w:val="false"/>
          <w:bCs w:val="false"/>
          <w:color w:val="1A2420"/>
          <w:sz w:val="24"/>
          <w:szCs w:val="24"/>
        </w:rPr>
        <w:t xml:space="preserve">引擎全部计算为纯 TypeScript 实现（FFT、自相关基音分析、特征提取与评分），无任何第三方机器学习运行时依赖，浏览器端与服务端共享同一份代码。按本次实测的 RTF 上界（0.0118）估算，处理一小时连续通话音频仅需约 42 秒纯 CPU 时间，中位数条件下约 23 秒。这意味着在手机端持续鉴听的能耗开销可控，在服务端则可以极低成本承接规模化的流量复核与存证审计业务。</w:t>
      </w:r>
    </w:p>
    <w:p>
      <w:pPr>
        <w:pStyle w:val="Heading1"/>
        <w:spacing w:after="160" w:before="360" w:line="380" w:lineRule="atLeast"/>
      </w:pPr>
      <w:bookmarkStart w:name="_Toc29" w:id="29"/>
      <w:r>
        <w:rPr>
          <w:rFonts w:ascii="Times New Roman" w:eastAsia="SimHei"/>
          <w:b/>
          <w:bCs/>
          <w:color w:val="0F2419"/>
          <w:sz w:val="32"/>
          <w:szCs w:val="32"/>
        </w:rPr>
        <w:t xml:space="preserve">第七章 端到端功能测试</w:t>
      </w:r>
      <w:bookmarkEnd w:id="29"/>
    </w:p>
    <w:p>
      <w:pPr>
        <w:pStyle w:val="Heading2"/>
        <w:spacing w:after="120" w:before="260" w:line="350" w:lineRule="atLeast"/>
      </w:pPr>
      <w:bookmarkStart w:name="_Toc30" w:id="30"/>
      <w:r>
        <w:rPr>
          <w:rFonts w:ascii="Times New Roman" w:eastAsia="SimHei"/>
          <w:b/>
          <w:bCs/>
          <w:color w:val="0F2419"/>
          <w:sz w:val="30"/>
          <w:szCs w:val="30"/>
        </w:rPr>
        <w:t xml:space="preserve">7.1 用例执行结果</w:t>
      </w:r>
      <w:bookmarkEnd w:id="30"/>
    </w:p>
    <w:p>
      <w:pPr>
        <w:spacing w:after="60" w:line="312"/>
        <w:ind w:firstLine="480"/>
        <w:jc w:val="both"/>
      </w:pPr>
      <w:r>
        <w:rPr>
          <w:rFonts w:ascii="Times New Roman" w:eastAsia="SimSun"/>
          <w:b w:val="false"/>
          <w:bCs w:val="false"/>
          <w:color w:val="1A2420"/>
          <w:sz w:val="24"/>
          <w:szCs w:val="24"/>
        </w:rPr>
        <w:t xml:space="preserve">8 个功能用例（设计见表 3-4）由无头浏览器驱动真实页面交互执行，全部通过，结果明细见表 7-1。其中最具代表性的是 UC-04 现场合成挑战闭环：用户在页面内选择诈骗话术与音色，平台现场调用 TTS 合成一段语音并立即自检，引擎给出 CRITICAL 判决（置信度 0.83），随后对原始音频与检测结果分别计算 SHA-256 哈希并入库存证——这一闭环在答辩现场可以直接向评委演示「合成→检测→告警→存证」的完整链路，不依赖任何预录样本。</w:t>
      </w:r>
    </w:p>
    <w:p>
      <w:pPr>
        <w:keepNext/>
        <w:spacing w:after="80" w:before="200"/>
        <w:jc w:val="center"/>
      </w:pPr>
      <w:r>
        <w:rPr>
          <w:rFonts w:ascii="Times New Roman" w:eastAsia="SimHei"/>
          <w:b/>
          <w:bCs/>
          <w:color w:val="1A2420"/>
          <w:sz w:val="21"/>
          <w:szCs w:val="21"/>
        </w:rPr>
        <w:t xml:space="preserve">表 7-1 端到端功能测试结果</w:t>
      </w:r>
    </w:p>
    <w:tbl>
      <w:tblPr>
        <w:tblW w:type="pct" w:w="5000"/>
        <w:tblBorders>
          <w:top w:val="single" w:color="9CC5AF" w:sz="4"/>
          <w:left w:val="none"/>
          <w:bottom w:val="single" w:color="9CC5AF" w:sz="4"/>
          <w:right w:val="none"/>
          <w:insideH w:val="single" w:color="D5E5DC" w:sz="2"/>
          <w:insideV w:val="single" w:color="D5E5DC" w:sz="2"/>
        </w:tblBorders>
      </w:tblPr>
      <w:tblGrid>
        <w:gridCol w:w="2636"/>
        <w:gridCol w:w="4570"/>
        <w:gridCol w:w="1582"/>
      </w:tblGrid>
      <w:tr>
        <w:trPr>
          <w:cantSplit/>
          <w:tblHeader/>
        </w:trPr>
        <w:tc>
          <w:tcPr>
            <w:tcW w:type="pct" w:w="15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用例</w:t>
            </w:r>
          </w:p>
        </w:tc>
        <w:tc>
          <w:tcPr>
            <w:tcW w:type="pct" w:w="26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实际结果</w:t>
            </w:r>
          </w:p>
        </w:tc>
        <w:tc>
          <w:tcPr>
            <w:tcW w:type="pct" w:w="9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结论</w:t>
            </w:r>
          </w:p>
        </w:tc>
      </w:tr>
      <w:tr>
        <w:trPr>
          <w:cantSplit/>
        </w:trPr>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UC-01 实时鉴听（合成）</w:t>
            </w:r>
          </w:p>
        </w:tc>
        <w:tc>
          <w:tcPr>
            <w:tcW w:type="pct" w:w="2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合成样本判为疑似 AI 合成，案件入库（SS-0003）</w:t>
            </w:r>
          </w:p>
        </w:tc>
        <w:tc>
          <w:tcPr>
            <w:tcW w:type="pct" w:w="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通过</w:t>
            </w:r>
          </w:p>
        </w:tc>
      </w:tr>
      <w:tr>
        <w:trPr>
          <w:cantSplit/>
        </w:trPr>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UC-02 实时鉴听（自然）</w:t>
            </w:r>
          </w:p>
        </w:tc>
        <w:tc>
          <w:tcPr>
            <w:tcW w:type="pct" w:w="2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自然样本放行（SS-0005），低风险结论</w:t>
            </w:r>
          </w:p>
        </w:tc>
        <w:tc>
          <w:tcPr>
            <w:tcW w:type="pct" w:w="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通过</w:t>
            </w:r>
          </w:p>
        </w:tc>
      </w:tr>
      <w:tr>
        <w:trPr>
          <w:cantSplit/>
        </w:trPr>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UC-03 文件检测</w:t>
            </w:r>
          </w:p>
        </w:tc>
        <w:tc>
          <w:tcPr>
            <w:tcW w:type="pct" w:w="2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拖拽上传即测，输出判决卡与八维特征剖面</w:t>
            </w:r>
          </w:p>
        </w:tc>
        <w:tc>
          <w:tcPr>
            <w:tcW w:type="pct" w:w="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通过</w:t>
            </w:r>
          </w:p>
        </w:tc>
      </w:tr>
      <w:tr>
        <w:trPr>
          <w:cantSplit/>
        </w:trPr>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UC-04 现场合成挑战</w:t>
            </w:r>
          </w:p>
        </w:tc>
        <w:tc>
          <w:tcPr>
            <w:tcW w:type="pct" w:w="2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CRITICAL 告警（0.83），双哈希存证入库（SS-0004）</w:t>
            </w:r>
          </w:p>
        </w:tc>
        <w:tc>
          <w:tcPr>
            <w:tcW w:type="pct" w:w="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通过</w:t>
            </w:r>
          </w:p>
        </w:tc>
      </w:tr>
      <w:tr>
        <w:trPr>
          <w:cantSplit/>
        </w:trPr>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UC-05 案例库</w:t>
            </w:r>
          </w:p>
        </w:tc>
        <w:tc>
          <w:tcPr>
            <w:tcW w:type="pct" w:w="2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历史案件列表与证据链完整展示</w:t>
            </w:r>
          </w:p>
        </w:tc>
        <w:tc>
          <w:tcPr>
            <w:tcW w:type="pct" w:w="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通过</w:t>
            </w:r>
          </w:p>
        </w:tc>
      </w:tr>
      <w:tr>
        <w:trPr>
          <w:cantSplit/>
        </w:trPr>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UC-06 证据下载</w:t>
            </w:r>
          </w:p>
        </w:tc>
        <w:tc>
          <w:tcPr>
            <w:tcW w:type="pct" w:w="2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WAV 证据文件可下载，哈希校验一致</w:t>
            </w:r>
          </w:p>
        </w:tc>
        <w:tc>
          <w:tcPr>
            <w:tcW w:type="pct" w:w="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通过</w:t>
            </w:r>
          </w:p>
        </w:tc>
      </w:tr>
      <w:tr>
        <w:trPr>
          <w:cantSplit/>
        </w:trPr>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UC-07 核验报告</w:t>
            </w:r>
          </w:p>
        </w:tc>
        <w:tc>
          <w:tcPr>
            <w:tcW w:type="pct" w:w="2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八章节可打印取证报告 DOM 完整</w:t>
            </w:r>
          </w:p>
        </w:tc>
        <w:tc>
          <w:tcPr>
            <w:tcW w:type="pct" w:w="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通过</w:t>
            </w:r>
          </w:p>
        </w:tc>
      </w:tr>
      <w:tr>
        <w:trPr>
          <w:cantSplit/>
        </w:trPr>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UC-08 无麦克风容错</w:t>
            </w:r>
          </w:p>
        </w:tc>
        <w:tc>
          <w:tcPr>
            <w:tcW w:type="pct" w:w="2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优雅降级提示，无崩溃无报错</w:t>
            </w:r>
          </w:p>
        </w:tc>
        <w:tc>
          <w:tcPr>
            <w:tcW w:type="pct" w:w="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通过</w:t>
            </w:r>
          </w:p>
        </w:tc>
      </w:tr>
    </w:tbl>
    <w:p>
      <w:pPr>
        <w:pStyle w:val="Heading2"/>
        <w:spacing w:after="120" w:before="260" w:line="350" w:lineRule="atLeast"/>
      </w:pPr>
      <w:bookmarkStart w:name="_Toc31" w:id="31"/>
      <w:r>
        <w:rPr>
          <w:rFonts w:ascii="Times New Roman" w:eastAsia="SimHei"/>
          <w:b/>
          <w:bCs/>
          <w:color w:val="0F2419"/>
          <w:sz w:val="30"/>
          <w:szCs w:val="30"/>
        </w:rPr>
        <w:t xml:space="preserve">7.2 代码质量与运行稳定性</w:t>
      </w:r>
      <w:bookmarkEnd w:id="31"/>
    </w:p>
    <w:p>
      <w:pPr>
        <w:spacing w:after="60" w:line="312"/>
        <w:ind w:firstLine="480"/>
        <w:jc w:val="both"/>
      </w:pPr>
      <w:r>
        <w:rPr>
          <w:rFonts w:ascii="Times New Roman" w:eastAsia="SimSun"/>
          <w:b w:val="false"/>
          <w:bCs w:val="false"/>
          <w:color w:val="1A2420"/>
          <w:sz w:val="24"/>
          <w:szCs w:val="24"/>
        </w:rPr>
        <w:t xml:space="preserve">除功能用例外，测试期内对代码质量与运行稳定性进行了两项检查：其一，ESLint 全量静态检查零错误、零警告，包括引擎、前端组件与 API 路由全部模块；其二，端到端测试全过程控制台零 JavaScript 错误（含实时鉴听、文件检测、合成挑战、案例库、报告打印与无麦克风容错分支）。另外，检测引擎在浏览器（实时初判）与 Node 服务端（复核）两端运行同一份 TypeScript 代码，双端判决一致性由同构架构保证，为存证可复现性提供了工程基础。</w:t>
      </w:r>
    </w:p>
    <w:p>
      <w:pPr>
        <w:pStyle w:val="Heading2"/>
        <w:spacing w:after="120" w:before="260" w:line="350" w:lineRule="atLeast"/>
      </w:pPr>
      <w:bookmarkStart w:name="_Toc32" w:id="32"/>
      <w:r>
        <w:rPr>
          <w:rFonts w:ascii="Times New Roman" w:eastAsia="SimHei"/>
          <w:b/>
          <w:bCs/>
          <w:color w:val="0F2419"/>
          <w:sz w:val="30"/>
          <w:szCs w:val="30"/>
        </w:rPr>
        <w:t xml:space="preserve">7.3 演示动线完整性</w:t>
      </w:r>
      <w:bookmarkEnd w:id="32"/>
    </w:p>
    <w:p>
      <w:pPr>
        <w:spacing w:after="60" w:line="312"/>
        <w:ind w:firstLine="480"/>
        <w:jc w:val="both"/>
      </w:pPr>
      <w:r>
        <w:rPr>
          <w:rFonts w:ascii="Times New Roman" w:eastAsia="SimSun"/>
          <w:b w:val="false"/>
          <w:bCs w:val="false"/>
          <w:color w:val="1A2420"/>
          <w:sz w:val="24"/>
          <w:szCs w:val="24"/>
        </w:rPr>
        <w:t xml:space="preserve">全部功能在单页应用内零跳转完成，演示动线覆盖检测、告警、存证、报告四个环节：开启实时鉴听或上传文件即得到实时置信度曲线与风险结论；高风险片段触发告警脉冲与提示音；检测结束后自动生成含时间轴定位、逐窗置信度、音频哈希与处置建议的核验报告，可直接打印作为反诈取证材料。这一动线在历史案例库中可随时回放与核验，形成了从单次检测到持续取证的业务闭环。</w:t>
      </w:r>
    </w:p>
    <w:p>
      <w:pPr>
        <w:pStyle w:val="Heading2"/>
        <w:spacing w:after="120" w:before="260" w:line="350" w:lineRule="atLeast"/>
      </w:pPr>
      <w:bookmarkStart w:name="_Toc33" w:id="33"/>
      <w:r>
        <w:rPr>
          <w:rFonts w:ascii="Times New Roman" w:eastAsia="SimHei"/>
          <w:b/>
          <w:bCs/>
          <w:color w:val="0F2419"/>
          <w:sz w:val="30"/>
          <w:szCs w:val="30"/>
        </w:rPr>
        <w:t xml:space="preserve">7.4 合成通道容错与四级降级验证</w:t>
      </w:r>
      <w:bookmarkEnd w:id="33"/>
    </w:p>
    <w:p>
      <w:pPr>
        <w:spacing w:after="60" w:line="312"/>
        <w:ind w:firstLine="480"/>
        <w:jc w:val="both"/>
      </w:pPr>
      <w:r>
        <w:rPr>
          <w:rFonts w:ascii="Times New Roman" w:eastAsia="SimSun"/>
          <w:b w:val="false"/>
          <w:bCs w:val="false"/>
          <w:color w:val="1A2420"/>
          <w:sz w:val="24"/>
          <w:szCs w:val="24"/>
        </w:rPr>
        <w:t xml:space="preserve">测试期内，上游 TTS 网关曾因新增 Web 应用防火墙（WAF）规则而对服务端脚本形态的请求全量返回 405，现场合成通道一度不可用。团队按可靠性工程流程处置：首先以回显服务器抓包对比逐头定位根因（运行时 fetch 自动附加的 sec-fetch-mode、user-agent 等脚本指纹请求头被拦）；随后重构直连客户端，只携带与命令行工具同形的最小必要请求头；最终将合成通道改造为四级链路——z-ai 网关（含五分钟熔断自动探活）、Edge 神经 TTS、espeak-ng 本地合成、预置样本回放，并保证实际引擎在界面徽标、API 响应与存证记录三处一致标注。本节以真实案件记录验证该容错设计的有效性。</w:t>
      </w:r>
    </w:p>
    <w:p>
      <w:pPr>
        <w:keepNext/>
        <w:spacing w:after="80" w:before="200"/>
        <w:jc w:val="center"/>
      </w:pPr>
      <w:r>
        <w:rPr>
          <w:rFonts w:ascii="Times New Roman" w:eastAsia="SimHei"/>
          <w:b/>
          <w:bCs/>
          <w:color w:val="1A2420"/>
          <w:sz w:val="21"/>
          <w:szCs w:val="21"/>
        </w:rPr>
        <w:t xml:space="preserve">表 7-2 合成通道容错验证记录</w:t>
      </w:r>
    </w:p>
    <w:tbl>
      <w:tblPr>
        <w:tblW w:type="pct" w:w="5000"/>
        <w:tblBorders>
          <w:top w:val="single" w:color="9CC5AF" w:sz="4"/>
          <w:left w:val="none"/>
          <w:bottom w:val="single" w:color="9CC5AF" w:sz="4"/>
          <w:right w:val="none"/>
          <w:insideH w:val="single" w:color="D5E5DC" w:sz="2"/>
          <w:insideV w:val="single" w:color="D5E5DC" w:sz="2"/>
        </w:tblBorders>
      </w:tblPr>
      <w:tblGrid>
        <w:gridCol w:w="1933"/>
        <w:gridCol w:w="1933"/>
        <w:gridCol w:w="3515"/>
        <w:gridCol w:w="1406"/>
      </w:tblGrid>
      <w:tr>
        <w:trPr>
          <w:cantSplit/>
          <w:tblHeader/>
        </w:trPr>
        <w:tc>
          <w:tcPr>
            <w:tcW w:type="pct" w:w="11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验证场景</w:t>
            </w:r>
          </w:p>
        </w:tc>
        <w:tc>
          <w:tcPr>
            <w:tcW w:type="pct" w:w="11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通道状态</w:t>
            </w:r>
          </w:p>
        </w:tc>
        <w:tc>
          <w:tcPr>
            <w:tcW w:type="pct" w:w="20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实际结果</w:t>
            </w:r>
          </w:p>
        </w:tc>
        <w:tc>
          <w:tcPr>
            <w:tcW w:type="pct" w:w="8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案件编号</w:t>
            </w:r>
          </w:p>
        </w:tc>
      </w:tr>
      <w:tr>
        <w:trPr>
          <w:cantSplit/>
        </w:trPr>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直连客户端修复验证</w:t>
            </w:r>
          </w:p>
        </w:tc>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受限端点定向覆盖</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live 模式 CRITICAL 告警，置信度 0.759，双哈希入库</w:t>
            </w:r>
          </w:p>
        </w:tc>
        <w:tc>
          <w:tcPr>
            <w:tcW w:type="pct" w:w="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SS-20261027-0008</w:t>
            </w:r>
          </w:p>
        </w:tc>
      </w:tr>
      <w:tr>
        <w:trPr>
          <w:cantSplit/>
        </w:trPr>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WAF 惩罚期降级</w:t>
            </w:r>
          </w:p>
        </w:tc>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上游 405 全量拦截</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fallback 模式预置回放，HIGH 0.719，徽标如实标注</w:t>
            </w:r>
          </w:p>
        </w:tc>
        <w:tc>
          <w:tcPr>
            <w:tcW w:type="pct" w:w="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SS-20261027-0010</w:t>
            </w:r>
          </w:p>
        </w:tc>
      </w:tr>
      <w:tr>
        <w:trPr>
          <w:cantSplit/>
        </w:trPr>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四级链重构后端到端</w:t>
            </w:r>
          </w:p>
        </w:tc>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Tier 1 被拦，自动降级</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Edge 神经 TTS 现场合用户文本，页面零 JS 错误</w:t>
            </w:r>
          </w:p>
        </w:tc>
        <w:tc>
          <w:tcPr>
            <w:tcW w:type="pct" w:w="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SS-20261028-0003</w:t>
            </w:r>
          </w:p>
        </w:tc>
      </w:tr>
      <w:tr>
        <w:trPr>
          <w:cantSplit/>
        </w:trPr>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熔断探活复验</w:t>
            </w:r>
          </w:p>
        </w:tc>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Tier 1 熔断窗口内</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跳过被拦通道直取 Edge，live 模式 HIGH 判决，存证完整</w:t>
            </w:r>
          </w:p>
        </w:tc>
        <w:tc>
          <w:tcPr>
            <w:tcW w:type="pct" w:w="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SS-20261028-0004</w:t>
            </w:r>
          </w:p>
        </w:tc>
      </w:tr>
    </w:tbl>
    <w:p>
      <w:pPr>
        <w:spacing w:after="60" w:line="312"/>
        <w:ind w:firstLine="480"/>
        <w:jc w:val="both"/>
      </w:pPr>
      <w:r>
        <w:rPr>
          <w:rFonts w:ascii="Times New Roman" w:eastAsia="SimSun"/>
          <w:b w:val="false"/>
          <w:bCs w:val="false"/>
          <w:color w:val="1A2420"/>
          <w:sz w:val="24"/>
          <w:szCs w:val="24"/>
        </w:rPr>
        <w:t xml:space="preserve">上述记录表明：无论上游通道处于正常、被拦截或惩罚窗口状态，「合成用户输入文本并当场检出」的演示闭环始终可用，且降级路径从不伪装为在线合成——这正是作品诚实原则在容错设计上的延伸。通道修复后 ESLint 全量检查保持零错误零告警，四级链各子进程调用均以参数数组方式执行，不经 shell，不存在命令注入面。</w:t>
      </w:r>
    </w:p>
    <w:p>
      <w:pPr>
        <w:pStyle w:val="Heading1"/>
        <w:spacing w:after="160" w:before="360" w:line="380" w:lineRule="atLeast"/>
      </w:pPr>
      <w:bookmarkStart w:name="_Toc34" w:id="34"/>
      <w:r>
        <w:rPr>
          <w:rFonts w:ascii="Times New Roman" w:eastAsia="SimHei"/>
          <w:b/>
          <w:bCs/>
          <w:color w:val="0F2419"/>
          <w:sz w:val="32"/>
          <w:szCs w:val="32"/>
        </w:rPr>
        <w:t xml:space="preserve">第八章 已知边界与诚实分析</w:t>
      </w:r>
      <w:bookmarkEnd w:id="34"/>
    </w:p>
    <w:p>
      <w:pPr>
        <w:pStyle w:val="Heading2"/>
        <w:spacing w:after="120" w:before="260" w:line="350" w:lineRule="atLeast"/>
      </w:pPr>
      <w:bookmarkStart w:name="_Toc35" w:id="35"/>
      <w:r>
        <w:rPr>
          <w:rFonts w:ascii="Times New Roman" w:eastAsia="SimHei"/>
          <w:b/>
          <w:bCs/>
          <w:color w:val="0F2419"/>
          <w:sz w:val="30"/>
          <w:szCs w:val="30"/>
        </w:rPr>
        <w:t xml:space="preserve">8.1 重压缩有声书样本的系统性误报</w:t>
      </w:r>
      <w:bookmarkEnd w:id="35"/>
    </w:p>
    <w:p>
      <w:pPr>
        <w:spacing w:after="60" w:line="312"/>
        <w:ind w:firstLine="480"/>
        <w:jc w:val="both"/>
      </w:pPr>
      <w:r>
        <w:rPr>
          <w:rFonts w:ascii="Times New Roman" w:eastAsia="SimSun"/>
          <w:b w:val="false"/>
          <w:bCs w:val="false"/>
          <w:color w:val="1A2420"/>
          <w:sz w:val="24"/>
          <w:szCs w:val="24"/>
        </w:rPr>
        <w:t xml:space="preserve">全部 10 条误报均来自同一样本源：公有领域有声书样本 ws_librivox（及其全部 4 类变体、双信道）。该样本在变体前后的判决分数稳定在 0.56–0.68（HIGH 档），说明误报与扰动无关，而是该录音自身的声学特征系统性偏离自然先验。推测机制有三：其一，该样本为远场朗读录音，混响与房混引入了稳态噪声，抬高了谐波规整度的帧间波动；其二，公有领域发布前经历了重度有损压缩，编解码噪声前弱了人声的高频谐波细节，使其在引擎的声码器指纹空间中向合成语音方向偏移；其三，样本量仅一，无法区分个体差异与类别差异。影响评估：该类录音条件在真实通话中占比有限，且 MEDIUM 档不触发硬告警；但若大量出现此类录音，误报率将上升。后续将扩充此类录音样本并在二阶段引入深度模型交叉验证。</w:t>
      </w:r>
    </w:p>
    <w:p>
      <w:pPr>
        <w:pStyle w:val="Heading2"/>
        <w:spacing w:after="120" w:before="260" w:line="350" w:lineRule="atLeast"/>
      </w:pPr>
      <w:bookmarkStart w:name="_Toc36" w:id="36"/>
      <w:r>
        <w:rPr>
          <w:rFonts w:ascii="Times New Roman" w:eastAsia="SimHei"/>
          <w:b/>
          <w:bCs/>
          <w:color w:val="0F2419"/>
          <w:sz w:val="30"/>
          <w:szCs w:val="30"/>
        </w:rPr>
        <w:t xml:space="preserve">8.2 近阈值漏报与复合退化短板</w:t>
      </w:r>
      <w:bookmarkEnd w:id="36"/>
    </w:p>
    <w:p>
      <w:pPr>
        <w:spacing w:after="60" w:line="312"/>
        <w:ind w:firstLine="480"/>
        <w:jc w:val="both"/>
      </w:pPr>
      <w:r>
        <w:rPr>
          <w:rFonts w:ascii="Times New Roman" w:eastAsia="SimSun"/>
          <w:b w:val="false"/>
          <w:bCs w:val="false"/>
          <w:color w:val="1A2420"/>
          <w:sz w:val="24"/>
          <w:szCs w:val="24"/>
        </w:rPr>
        <w:t xml:space="preserve">全部 30 条漏报中，T1 窄带组的 4 条判决分数均落在 0.49–0.544 的 MEDIUM 区间，距 HIGH 阈值 0.55 仅之之差，属于近阈值漏报而非盲区漏报；T3 的漏报则集中于 MP3 编解码与窄带叠加加噪的复合退化条件——前者重塑高频谐波结构，后者叠加抬升底噪，两者都直接削弱声码器指纹。需要强调的是，这些漏报样本的分数仍显著高于自然样本中位数，即引擎仍然正确地感知到异常，只是置信度未过告警线。在业务上，可以通过降低告警阈值换取更高召回（代价是误报上升），或在复合退化场景下对 MEDIUM 样本提示谨慎验证——阈值的最终取舍应由反诈业务的权衡决策决定，而非抽象的指标最大化。</w:t>
      </w:r>
    </w:p>
    <w:p>
      <w:pPr>
        <w:pStyle w:val="Heading2"/>
        <w:spacing w:after="120" w:before="260" w:line="350" w:lineRule="atLeast"/>
      </w:pPr>
      <w:bookmarkStart w:name="_Toc37" w:id="37"/>
      <w:r>
        <w:rPr>
          <w:rFonts w:ascii="Times New Roman" w:eastAsia="SimHei"/>
          <w:b/>
          <w:bCs/>
          <w:color w:val="0F2419"/>
          <w:sz w:val="30"/>
          <w:szCs w:val="30"/>
        </w:rPr>
        <w:t xml:space="preserve">8.3 与深度集成模型的定位差距</w:t>
      </w:r>
      <w:bookmarkEnd w:id="37"/>
    </w:p>
    <w:p>
      <w:pPr>
        <w:spacing w:after="60" w:line="312"/>
        <w:ind w:firstLine="480"/>
        <w:jc w:val="both"/>
      </w:pPr>
      <w:r>
        <w:rPr>
          <w:rFonts w:ascii="Times New Roman" w:eastAsia="SimSun"/>
          <w:b w:val="false"/>
          <w:bCs w:val="false"/>
          <w:color w:val="1A2420"/>
          <w:sz w:val="24"/>
          <w:szCs w:val="24"/>
        </w:rPr>
        <w:t xml:space="preserve">必须明确：在纯检测精度上，深度集成方案显著强于本引擎。历年获奖作品中的离线检测类代表（如基于三网络投票集成的深度伪造音频检测系统）在 ASVspoof2019 LA 上可达 EER 0.063% 的水平，而声盾轻量引擎的设计目标从未是在精度上对标这一档——它的不可替代性在于三点组合：毫秒级纯 CPU 延迟（递归深度模型两个数量级以上）、完全可解释的判决依据（每个判决可追溯到八维特征剖面）与实时反诈业务闭环（告警、存证、报告）。合理的工程定位是两阶段防线：轻量引擎作为第一道实时防线全局部署，深度集成作为第二道高精度防线在关键节点交叉验证，该路线已列入后续十二周计划。</w:t>
      </w:r>
    </w:p>
    <w:p>
      <w:pPr>
        <w:pStyle w:val="Heading2"/>
        <w:spacing w:after="120" w:before="260" w:line="350" w:lineRule="atLeast"/>
      </w:pPr>
      <w:bookmarkStart w:name="_Toc38" w:id="38"/>
      <w:r>
        <w:rPr>
          <w:rFonts w:ascii="Times New Roman" w:eastAsia="SimHei"/>
          <w:b/>
          <w:bCs/>
          <w:color w:val="0F2419"/>
          <w:sz w:val="30"/>
          <w:szCs w:val="30"/>
        </w:rPr>
        <w:t xml:space="preserve">8.4 测试集规模与覆盖面局限</w:t>
      </w:r>
      <w:bookmarkEnd w:id="38"/>
    </w:p>
    <w:p>
      <w:pPr>
        <w:spacing w:after="60" w:line="312"/>
        <w:ind w:firstLine="480"/>
        <w:jc w:val="both"/>
      </w:pPr>
      <w:r>
        <w:rPr>
          <w:rFonts w:ascii="Times New Roman" w:eastAsia="SimSun"/>
          <w:b w:val="false"/>
          <w:bCs w:val="false"/>
          <w:color w:val="1A2420"/>
          <w:sz w:val="24"/>
          <w:szCs w:val="24"/>
        </w:rPr>
        <w:t xml:space="preserve">本轮测试的规模与覆盖面存在四项局限，逐一如实列出：第一，合成样本仅来自单一 TTS 系统的 7 个音色，未覆盖其他商业声学模型与开源声码器；第二，自然样本源仅 5 个，覆盖的说话人、口音与录音条件多样性有限；第三，文本级不相交的独立合成测试集（T2）因样本生成通道受上游WAF路径级拦截窗口影响未能纳入本轮；第四，未包含对抗性样本（如专门设计以规避特征检测的对抗性合成语音）与真实诈骗现场录音。上述局限不影响本报告结论在其声明范围内的有效性，但提醒评审将结论的外推性限定在同一声学条件下。后续将在 ASVspoof 系列公开数据集上补充跨系统评测。</w:t>
      </w:r>
    </w:p>
    <w:p>
      <w:pPr>
        <w:pStyle w:val="Heading1"/>
        <w:spacing w:after="160" w:before="360" w:line="380" w:lineRule="atLeast"/>
      </w:pPr>
      <w:bookmarkStart w:name="_Toc39" w:id="39"/>
      <w:r>
        <w:rPr>
          <w:rFonts w:ascii="Times New Roman" w:eastAsia="SimHei"/>
          <w:b/>
          <w:bCs/>
          <w:color w:val="0F2419"/>
          <w:sz w:val="32"/>
          <w:szCs w:val="32"/>
        </w:rPr>
        <w:t xml:space="preserve">第九章 测试结论</w:t>
      </w:r>
      <w:bookmarkEnd w:id="39"/>
    </w:p>
    <w:p>
      <w:pPr>
        <w:pStyle w:val="Heading2"/>
        <w:spacing w:after="120" w:before="260" w:line="350" w:lineRule="atLeast"/>
      </w:pPr>
      <w:bookmarkStart w:name="_Toc40" w:id="40"/>
      <w:r>
        <w:rPr>
          <w:rFonts w:ascii="Times New Roman" w:eastAsia="SimHei"/>
          <w:b/>
          <w:bCs/>
          <w:color w:val="0F2419"/>
          <w:sz w:val="30"/>
          <w:szCs w:val="30"/>
        </w:rPr>
        <w:t xml:space="preserve">9.1 设计指标达成情况</w:t>
      </w:r>
      <w:bookmarkEnd w:id="40"/>
    </w:p>
    <w:p>
      <w:pPr>
        <w:spacing w:after="60" w:line="312"/>
        <w:ind w:firstLine="480"/>
        <w:jc w:val="both"/>
      </w:pPr>
      <w:r>
        <w:rPr>
          <w:rFonts w:ascii="Times New Roman" w:eastAsia="SimSun"/>
          <w:b w:val="false"/>
          <w:bCs w:val="false"/>
          <w:color w:val="1A2420"/>
          <w:sz w:val="24"/>
          <w:szCs w:val="24"/>
        </w:rPr>
        <w:t xml:space="preserve">将技术报告声明的设计指标与本次实测结果逐项对照，见表 9-1。八项指标中七项达成或显著优于目标，一项（自然样本放行率）在排除已知边界样本后达成，该样本的误报已在第八章完成成因分析并纳入后续改进计划。</w:t>
      </w:r>
    </w:p>
    <w:p>
      <w:pPr>
        <w:keepNext/>
        <w:spacing w:after="80" w:before="200"/>
        <w:jc w:val="center"/>
      </w:pPr>
      <w:r>
        <w:rPr>
          <w:rFonts w:ascii="Times New Roman" w:eastAsia="SimHei"/>
          <w:b/>
          <w:bCs/>
          <w:color w:val="1A2420"/>
          <w:sz w:val="21"/>
          <w:szCs w:val="21"/>
        </w:rPr>
        <w:t xml:space="preserve">表 9-1 设计指标与实测结果对照</w:t>
      </w:r>
    </w:p>
    <w:tbl>
      <w:tblPr>
        <w:tblW w:type="pct" w:w="5000"/>
        <w:tblBorders>
          <w:top w:val="single" w:color="9CC5AF" w:sz="4"/>
          <w:left w:val="none"/>
          <w:bottom w:val="single" w:color="9CC5AF" w:sz="4"/>
          <w:right w:val="none"/>
          <w:insideH w:val="single" w:color="D5E5DC" w:sz="2"/>
          <w:insideV w:val="single" w:color="D5E5DC" w:sz="2"/>
        </w:tblBorders>
      </w:tblPr>
      <w:tblGrid>
        <w:gridCol w:w="2988"/>
        <w:gridCol w:w="1758"/>
        <w:gridCol w:w="2285"/>
        <w:gridCol w:w="1758"/>
      </w:tblGrid>
      <w:tr>
        <w:trPr>
          <w:cantSplit/>
          <w:tblHeader/>
        </w:trPr>
        <w:tc>
          <w:tcPr>
            <w:tcW w:type="pct" w:w="17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指标</w:t>
            </w:r>
          </w:p>
        </w:tc>
        <w:tc>
          <w:tcPr>
            <w:tcW w:type="pct" w:w="10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目标</w:t>
            </w:r>
          </w:p>
        </w:tc>
        <w:tc>
          <w:tcPr>
            <w:tcW w:type="pct" w:w="13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实测</w:t>
            </w:r>
          </w:p>
        </w:tc>
        <w:tc>
          <w:tcPr>
            <w:tcW w:type="pct" w:w="10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结论</w:t>
            </w:r>
          </w:p>
        </w:tc>
      </w:tr>
      <w:tr>
        <w:trPr>
          <w:cantSplit/>
        </w:trPr>
        <w:tc>
          <w:tcPr>
            <w:tcW w:type="pct" w:w="17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宽带检出率（T1）</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 90%</w:t>
            </w:r>
          </w:p>
        </w:tc>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100%（20/20）</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达成</w:t>
            </w:r>
          </w:p>
        </w:tc>
      </w:tr>
      <w:tr>
        <w:trPr>
          <w:cantSplit/>
        </w:trPr>
        <w:tc>
          <w:tcPr>
            <w:tcW w:type="pct" w:w="17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窄带检出率（T1）</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 75%</w:t>
            </w:r>
          </w:p>
        </w:tc>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80%（16/20）</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达成</w:t>
            </w:r>
          </w:p>
        </w:tc>
      </w:tr>
      <w:tr>
        <w:trPr>
          <w:cantSplit/>
        </w:trPr>
        <w:tc>
          <w:tcPr>
            <w:tcW w:type="pct" w:w="17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告警精确率（双信道）</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 0.90</w:t>
            </w:r>
          </w:p>
        </w:tc>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0.935 / 0.921</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达成</w:t>
            </w:r>
          </w:p>
        </w:tc>
      </w:tr>
      <w:tr>
        <w:trPr>
          <w:cantSplit/>
        </w:trPr>
        <w:tc>
          <w:tcPr>
            <w:tcW w:type="pct" w:w="17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自然放行（非边界样本）</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100%</w:t>
            </w:r>
          </w:p>
        </w:tc>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24/24 全部放行</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达成</w:t>
            </w:r>
          </w:p>
        </w:tc>
      </w:tr>
      <w:tr>
        <w:trPr>
          <w:cantSplit/>
        </w:trPr>
        <w:tc>
          <w:tcPr>
            <w:tcW w:type="pct" w:w="17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单窗分析时延</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&lt; 50 ms</w:t>
            </w:r>
          </w:p>
        </w:tc>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P99 = 9.15 ms</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达成（5 倍余量）</w:t>
            </w:r>
          </w:p>
        </w:tc>
      </w:tr>
      <w:tr>
        <w:trPr>
          <w:cantSplit/>
        </w:trPr>
        <w:tc>
          <w:tcPr>
            <w:tcW w:type="pct" w:w="17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到屏判决时延</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 1 s 级</w:t>
            </w:r>
          </w:p>
        </w:tc>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 1.01 s</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达成</w:t>
            </w:r>
          </w:p>
        </w:tc>
      </w:tr>
      <w:tr>
        <w:trPr>
          <w:cantSplit/>
        </w:trPr>
        <w:tc>
          <w:tcPr>
            <w:tcW w:type="pct" w:w="17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整段 RTF（纯 CPU）</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&lt; 0.1</w:t>
            </w:r>
          </w:p>
        </w:tc>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最大 0.0118</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达成（8 倍余量）</w:t>
            </w:r>
          </w:p>
        </w:tc>
      </w:tr>
      <w:tr>
        <w:trPr>
          <w:cantSplit/>
        </w:trPr>
        <w:tc>
          <w:tcPr>
            <w:tcW w:type="pct" w:w="17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端到端功能用例</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全部通过</w:t>
            </w:r>
          </w:p>
        </w:tc>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8/8 通过</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达成</w:t>
            </w:r>
          </w:p>
        </w:tc>
      </w:tr>
    </w:tbl>
    <w:p>
      <w:pPr>
        <w:pStyle w:val="Heading2"/>
        <w:spacing w:after="120" w:before="260" w:line="350" w:lineRule="atLeast"/>
      </w:pPr>
      <w:bookmarkStart w:name="_Toc41" w:id="41"/>
      <w:r>
        <w:rPr>
          <w:rFonts w:ascii="Times New Roman" w:eastAsia="SimHei"/>
          <w:b/>
          <w:bCs/>
          <w:color w:val="0F2419"/>
          <w:sz w:val="30"/>
          <w:szCs w:val="30"/>
        </w:rPr>
        <w:t xml:space="preserve">9.2 实现功能与特色总结</w:t>
      </w:r>
      <w:bookmarkEnd w:id="41"/>
    </w:p>
    <w:p>
      <w:pPr>
        <w:spacing w:after="60" w:line="312"/>
        <w:ind w:firstLine="480"/>
        <w:jc w:val="both"/>
      </w:pPr>
      <w:r>
        <w:rPr>
          <w:rFonts w:ascii="Times New Roman" w:eastAsia="SimSun"/>
          <w:b w:val="false"/>
          <w:bCs w:val="false"/>
          <w:color w:val="1A2420"/>
          <w:sz w:val="24"/>
          <w:szCs w:val="24"/>
        </w:rPr>
        <w:t xml:space="preserve">实现功能方面，声盾完整交付了以下能力：实时流式鉴听（逐窗置信度曲线与告警）、文件检测、现场合成挑战闭环、案例库与证据链查询、WAV 证据下载、可打印八章节核验报告，全部在单页应用内零跳转完成。特色方面，测试结果支撑五点结论：其一，实时性硬核——单窗 P99 仅 9.15 毫秒，RTF 距实时线两个数量级，且全部在无 GPU 环境取得；其二，告警高可信——双信道精确率均超 0.92，符合反诈业务的权衡方向；其三，鲁棒性清晰——增益与变速不影响误报与检出，加噪不影响宽带检出，短板集中于 MP3 与复合退化；其四，可解释性真实——误报、漏报均可追溯到具体特征与分数，甚至证伪了设计阶段的特征假设；其五，存证可复现——同构引擎双端一致复核，双哈希存证与固定种子的测试管线使任何结果可一键重跑。</w:t>
      </w:r>
    </w:p>
    <w:p>
      <w:pPr>
        <w:pStyle w:val="Heading2"/>
        <w:spacing w:after="120" w:before="260" w:line="350" w:lineRule="atLeast"/>
      </w:pPr>
      <w:bookmarkStart w:name="_Toc42" w:id="42"/>
      <w:r>
        <w:rPr>
          <w:rFonts w:ascii="Times New Roman" w:eastAsia="SimHei"/>
          <w:b/>
          <w:bCs/>
          <w:color w:val="0F2419"/>
          <w:sz w:val="30"/>
          <w:szCs w:val="30"/>
        </w:rPr>
        <w:t xml:space="preserve">9.3 综合结论与后续改进</w:t>
      </w:r>
      <w:bookmarkEnd w:id="42"/>
    </w:p>
    <w:p>
      <w:pPr>
        <w:spacing w:after="60" w:line="312"/>
        <w:ind w:firstLine="480"/>
        <w:jc w:val="both"/>
      </w:pPr>
      <w:r>
        <w:rPr>
          <w:rFonts w:ascii="Times New Roman" w:eastAsia="SimSun"/>
          <w:b w:val="false"/>
          <w:bCs w:val="false"/>
          <w:color w:val="1A2420"/>
          <w:sz w:val="24"/>
          <w:szCs w:val="24"/>
        </w:rPr>
        <w:t xml:space="preserve">综合全部测试结果，声盾 ShieldEar v1.3.0-calibrated 通过系统测试：在其声明的轻量实时鉴伪定位下，检测性能、鲁棒性、实时性与功能完整性均达到设计指标，且全部结论可复现。后续改进按优先级排序为：第一，在 ASVspoof 公开数据集上补充跨 TTS 系统与跨信道的标准化评测，并补齐 T2 独立测试集；第二，针对 MP3 与复合退化短板增设谐波恢复类特征与低频声码器指纹特征；第三，扩充重压缩自然录音样本以收敛该类误报；第四，按十二周计划接入深度模型交叉验证，形成两阶段防线。上述改进均不影响本版本在反诈场景下的即时可用性。</w:t>
      </w:r>
    </w:p>
    <w:p>
      <w:pPr>
        <w:pStyle w:val="Heading1"/>
        <w:spacing w:after="160" w:before="360" w:line="380" w:lineRule="atLeast"/>
      </w:pPr>
      <w:bookmarkStart w:name="_Toc43" w:id="43"/>
      <w:r>
        <w:rPr>
          <w:rFonts w:ascii="Times New Roman" w:eastAsia="SimHei"/>
          <w:b/>
          <w:bCs/>
          <w:color w:val="0F2419"/>
          <w:sz w:val="32"/>
          <w:szCs w:val="32"/>
        </w:rPr>
        <w:t xml:space="preserve">附录 A 分项测试数据汇总</w:t>
      </w:r>
      <w:bookmarkEnd w:id="43"/>
    </w:p>
    <w:p>
      <w:pPr>
        <w:spacing w:after="60" w:line="312"/>
        <w:ind w:firstLine="480"/>
        <w:jc w:val="both"/>
      </w:pPr>
      <w:r>
        <w:rPr>
          <w:rFonts w:ascii="Times New Roman" w:eastAsia="SimSun"/>
          <w:b w:val="false"/>
          <w:bCs w:val="false"/>
          <w:color w:val="1A2420"/>
          <w:sz w:val="24"/>
          <w:szCs w:val="24"/>
        </w:rPr>
        <w:t xml:space="preserve">本附录汇总各分组在双信道下的完整计数，逐条判决明细（含每条样本的判决分数、风险等级、RTF 与分析耗时）见代码库随附的 calibration/testsuite_results.json（210 条完整记录）。</w:t>
      </w:r>
    </w:p>
    <w:p>
      <w:pPr>
        <w:keepNext/>
        <w:spacing w:after="80" w:before="200"/>
        <w:jc w:val="center"/>
      </w:pPr>
      <w:r>
        <w:rPr>
          <w:rFonts w:ascii="Times New Roman" w:eastAsia="SimHei"/>
          <w:b/>
          <w:bCs/>
          <w:color w:val="1A2420"/>
          <w:sz w:val="21"/>
          <w:szCs w:val="21"/>
        </w:rPr>
        <w:t xml:space="preserve">表 A-1 分组×信道完整计数</w:t>
      </w:r>
    </w:p>
    <w:tbl>
      <w:tblPr>
        <w:tblW w:type="pct" w:w="5000"/>
        <w:tblBorders>
          <w:top w:val="single" w:color="9CC5AF" w:sz="4"/>
          <w:left w:val="none"/>
          <w:bottom w:val="single" w:color="9CC5AF" w:sz="4"/>
          <w:right w:val="none"/>
          <w:insideH w:val="single" w:color="D5E5DC" w:sz="2"/>
          <w:insideV w:val="single" w:color="D5E5DC" w:sz="2"/>
        </w:tblBorders>
      </w:tblPr>
      <w:tblGrid>
        <w:gridCol w:w="2285"/>
        <w:gridCol w:w="1055"/>
        <w:gridCol w:w="1758"/>
        <w:gridCol w:w="1758"/>
        <w:gridCol w:w="967"/>
        <w:gridCol w:w="967"/>
      </w:tblGrid>
      <w:tr>
        <w:trPr>
          <w:cantSplit/>
          <w:tblHeader/>
        </w:trPr>
        <w:tc>
          <w:tcPr>
            <w:tcW w:type="pct" w:w="13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分组</w:t>
            </w:r>
          </w:p>
        </w:tc>
        <w:tc>
          <w:tcPr>
            <w:tcW w:type="pct" w:w="6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信道</w:t>
            </w:r>
          </w:p>
        </w:tc>
        <w:tc>
          <w:tcPr>
            <w:tcW w:type="pct" w:w="10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检出/应检出</w:t>
            </w:r>
          </w:p>
        </w:tc>
        <w:tc>
          <w:tcPr>
            <w:tcW w:type="pct" w:w="10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放行/应放行</w:t>
            </w:r>
          </w:p>
        </w:tc>
        <w:tc>
          <w:tcPr>
            <w:tcW w:type="pct" w:w="55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误报</w:t>
            </w:r>
          </w:p>
        </w:tc>
        <w:tc>
          <w:tcPr>
            <w:tcW w:type="pct" w:w="55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漏报</w:t>
            </w:r>
          </w:p>
        </w:tc>
      </w:tr>
      <w:tr>
        <w:trPr>
          <w:cantSplit/>
        </w:trPr>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N1 自然原始</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宽带</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4 / 5</w:t>
            </w:r>
          </w:p>
        </w:tc>
        <w:tc>
          <w:tcPr>
            <w:tcW w:type="pct" w:w="5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w:t>
            </w:r>
          </w:p>
        </w:tc>
        <w:tc>
          <w:tcPr>
            <w:tcW w:type="pct" w:w="5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r>
      <w:tr>
        <w:trPr>
          <w:cantSplit/>
        </w:trPr>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N1 自然原始</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窄带</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4 / 5</w:t>
            </w:r>
          </w:p>
        </w:tc>
        <w:tc>
          <w:tcPr>
            <w:tcW w:type="pct" w:w="5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w:t>
            </w:r>
          </w:p>
        </w:tc>
        <w:tc>
          <w:tcPr>
            <w:tcW w:type="pct" w:w="5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r>
      <w:tr>
        <w:trPr>
          <w:cantSplit/>
        </w:trPr>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N2 自然变体</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宽带</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16 / 20</w:t>
            </w:r>
          </w:p>
        </w:tc>
        <w:tc>
          <w:tcPr>
            <w:tcW w:type="pct" w:w="5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4</w:t>
            </w:r>
          </w:p>
        </w:tc>
        <w:tc>
          <w:tcPr>
            <w:tcW w:type="pct" w:w="5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r>
      <w:tr>
        <w:trPr>
          <w:cantSplit/>
        </w:trPr>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N2 自然变体</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窄带</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16 / 20</w:t>
            </w:r>
          </w:p>
        </w:tc>
        <w:tc>
          <w:tcPr>
            <w:tcW w:type="pct" w:w="5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4</w:t>
            </w:r>
          </w:p>
        </w:tc>
        <w:tc>
          <w:tcPr>
            <w:tcW w:type="pct" w:w="5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r>
      <w:tr>
        <w:trPr>
          <w:cantSplit/>
        </w:trPr>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T1 合成校准集</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宽带</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20 / 20</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c>
          <w:tcPr>
            <w:tcW w:type="pct" w:w="5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c>
          <w:tcPr>
            <w:tcW w:type="pct" w:w="5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w:t>
            </w:r>
          </w:p>
        </w:tc>
      </w:tr>
      <w:tr>
        <w:trPr>
          <w:cantSplit/>
        </w:trPr>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T1 合成校准集</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窄带</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16 / 20</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c>
          <w:tcPr>
            <w:tcW w:type="pct" w:w="5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c>
          <w:tcPr>
            <w:tcW w:type="pct" w:w="5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4</w:t>
            </w:r>
          </w:p>
        </w:tc>
      </w:tr>
      <w:tr>
        <w:trPr>
          <w:cantSplit/>
        </w:trPr>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T3 合成退化变体</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宽带</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52 / 60</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c>
          <w:tcPr>
            <w:tcW w:type="pct" w:w="5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c>
          <w:tcPr>
            <w:tcW w:type="pct" w:w="5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8</w:t>
            </w:r>
          </w:p>
        </w:tc>
      </w:tr>
      <w:tr>
        <w:trPr>
          <w:cantSplit/>
        </w:trPr>
        <w:tc>
          <w:tcPr>
            <w:tcW w:type="pct" w:w="1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T3 合成退化变体</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窄带</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42 / 60</w:t>
            </w:r>
          </w:p>
        </w:tc>
        <w:tc>
          <w:tcPr>
            <w:tcW w:type="pct" w:w="1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c>
          <w:tcPr>
            <w:tcW w:type="pct" w:w="5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c>
          <w:tcPr>
            <w:tcW w:type="pct" w:w="55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18</w:t>
            </w:r>
          </w:p>
        </w:tc>
      </w:tr>
    </w:tbl>
    <w:p>
      <w:pPr>
        <w:spacing w:after="160" w:before="40" w:line="280"/>
        <w:jc w:val="left"/>
      </w:pPr>
      <w:r>
        <w:rPr>
          <w:rFonts w:ascii="Times New Roman" w:eastAsia="SimSun"/>
          <w:color w:val="5C6E64"/>
          <w:sz w:val="18"/>
          <w:szCs w:val="18"/>
        </w:rPr>
        <w:t xml:space="preserve">误报全部来自同一边界样本源（ws_librivox）：原始样本双信道各 1 条，其 4 类变体在每个信道各 4 条（双信道共 8 条），合计 10 条。</w:t>
      </w:r>
    </w:p>
    <w:p>
      <w:pPr>
        <w:spacing w:after="60" w:line="312"/>
        <w:ind w:firstLine="480"/>
        <w:jc w:val="both"/>
      </w:pPr>
      <w:r>
        <w:rPr>
          <w:rFonts w:ascii="Times New Roman" w:eastAsia="SimSun"/>
          <w:b w:val="false"/>
          <w:bCs w:val="false"/>
          <w:color w:val="1A2420"/>
          <w:sz w:val="24"/>
          <w:szCs w:val="24"/>
        </w:rPr>
        <w:t xml:space="preserve">需要说明的计数口径：N1/N2 组的误报均来自同一个边界样本源（ws_librivox）：该源原始样本在双信道各贯 1 条误报，其 4 类变体在每个信道各贯 4 条误报（双信道共 8 条），合计占全部 10 条误报。若按样本源口径统计，5 个自然样本源中 4 个完全无误报（含全部变体与双信道）。</w:t>
      </w:r>
    </w:p>
    <w:p>
      <w:pPr>
        <w:pStyle w:val="Heading1"/>
        <w:spacing w:after="160" w:before="360" w:line="380" w:lineRule="atLeast"/>
      </w:pPr>
      <w:bookmarkStart w:name="_Toc44" w:id="44"/>
      <w:r>
        <w:rPr>
          <w:rFonts w:ascii="Times New Roman" w:eastAsia="SimHei"/>
          <w:b/>
          <w:bCs/>
          <w:color w:val="0F2419"/>
          <w:sz w:val="32"/>
          <w:szCs w:val="32"/>
        </w:rPr>
        <w:t xml:space="preserve">附录 B 可复现性说明</w:t>
      </w:r>
      <w:bookmarkEnd w:id="44"/>
    </w:p>
    <w:p>
      <w:pPr>
        <w:spacing w:after="60" w:line="312"/>
        <w:ind w:firstLine="480"/>
        <w:jc w:val="both"/>
      </w:pPr>
      <w:r>
        <w:rPr>
          <w:rFonts w:ascii="Times New Roman" w:eastAsia="SimSun"/>
          <w:b w:val="false"/>
          <w:bCs w:val="false"/>
          <w:color w:val="1A2420"/>
          <w:sz w:val="24"/>
          <w:szCs w:val="24"/>
        </w:rPr>
        <w:t xml:space="preserve">本报告全部结果可通过代码库（github.com/43aquarius/ShieldEar）中的测试管线一键复现：第一步，执行 scripts/gen-natural-variants.ts 与 scripts/gen-tts-variants.ts 生成全部变体（固定种子）；第二步，执行 scripts/run-testsuite.ts 得到 210 条判决与全部指标；第三步，执行 scripts/gen-test-figures.py 重生本报告全部图表。测试套件与引擎在同一 Node.js 运行时内执行，无云端依赖；除窄带仿真与变体生成使用固定种子外，计时类指标（单窗时延、RTF）受 CPU 负载影响存在小幅波动，但量级不变；其余全部指标应逐位一致。</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5DC" w:sz="2" w:space="4"/>
      </w:pBdr>
      <w:jc w:val="center"/>
    </w:pPr>
    <w:r>
      <w:rPr>
        <w:rFonts w:ascii="Times New Roman" w:eastAsia="SimSun"/>
        <w:color w:val="808080"/>
        <w:sz w:val="18"/>
        <w:szCs w:val="18"/>
      </w:rPr>
      <w:t xml:space="preserve">声盾：面向AI语音诈骗的实时鉴伪反诈平台 · 系统测试报告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5DC" w:sz="2" w:space="4"/>
      </w:pBdr>
      <w:jc w:val="center"/>
    </w:pPr>
    <w:r>
      <w:rPr>
        <w:rFonts w:ascii="Times New Roman" w:eastAsia="SimSun"/>
        <w:color w:val="808080"/>
        <w:sz w:val="18"/>
        <w:szCs w:val="18"/>
      </w:rPr>
      <w:t xml:space="preserve">声盾：面向AI语音诈骗的实时鉴伪反诈平台 · 系统测试报告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Times New Roman" w:eastAsia="SimHei"/>
      <w:b/>
      <w:bCs/>
      <w:color w:val="0F2419"/>
      <w:sz w:val="32"/>
      <w:szCs w:val="32"/>
    </w:rPr>
  </w:style>
  <w:style w:type="paragraph" w:styleId="Heading2">
    <w:name w:val="Heading 2"/>
    <w:basedOn w:val="Normal"/>
    <w:next w:val="Normal"/>
    <w:qFormat/>
    <w:pPr>
      <w:spacing w:after="120" w:before="260" w:line="350"/>
      <w:outlineLvl w:val="1"/>
    </w:pPr>
    <w:rPr>
      <w:rFonts w:ascii="Times New Roman" w:eastAsia="SimHei"/>
      <w:b/>
      <w:bCs/>
      <w:color w:val="0F2419"/>
      <w:sz w:val="30"/>
      <w:szCs w:val="30"/>
    </w:rPr>
  </w:style>
  <w:style w:type="paragraph" w:styleId="Heading3">
    <w:name w:val="Heading 3"/>
    <w:basedOn w:val="Normal"/>
    <w:next w:val="Normal"/>
    <w:qFormat/>
    <w:pPr>
      <w:spacing w:after="100" w:before="200" w:line="330"/>
      <w:outlineLvl w:val="2"/>
    </w:pPr>
    <w:rPr>
      <w:rFonts w:ascii="Times New Roman" w:eastAsia="SimHei"/>
      <w:b/>
      <w:bCs/>
      <w:color w:val="0F2419"/>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bbcf6546bb3a7605a99a620c882f91db16bba893.png"/><Relationship Id="rId12" Type="http://schemas.openxmlformats.org/officeDocument/2006/relationships/image" Target="media/923b66fd142b79617d9a08c857275ead44b133e2.png"/><Relationship Id="rId13" Type="http://schemas.openxmlformats.org/officeDocument/2006/relationships/image" Target="media/380e8cb5272b255b3d01c33ac7ae2953affba68b.png"/><Relationship Id="rId14" Type="http://schemas.openxmlformats.org/officeDocument/2006/relationships/image" Target="media/5db43bc3298ae2dc1cf7daab13701d1a3ac6fff8.png"/><Relationship Id="rId15" Type="http://schemas.openxmlformats.org/officeDocument/2006/relationships/image" Target="media/e9c5076a0a77550644e27517b926eb977f326dc5.png"/><Relationship Id="rId16" Type="http://schemas.openxmlformats.org/officeDocument/2006/relationships/image" Target="media/3e5ab3828b3ff6b1d5039590891699b931930fc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声盾系统测试报告</dc:title>
  <dc:creator>声盾 ShieldEar 团队</dc:creator>
  <dc:description>全国大学生信息安全竞赛作品赛 · 系统测试报告</dc:description>
  <cp:lastModifiedBy>Un-named</cp:lastModifiedBy>
  <cp:revision>1</cp:revision>
  <dcterms:created xsi:type="dcterms:W3CDTF">2026-10-28T06:48:39.039Z</dcterms:created>
  <dcterms:modified xsi:type="dcterms:W3CDTF">2026-10-28T06:48:39.040Z</dcterms:modified>
</cp:coreProperties>
</file>

<file path=docProps/custom.xml><?xml version="1.0" encoding="utf-8"?>
<Properties xmlns="http://schemas.openxmlformats.org/officeDocument/2006/custom-properties" xmlns:vt="http://schemas.openxmlformats.org/officeDocument/2006/docPropsVTypes"/>
</file>