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50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1906"/>
      </w:tblGrid>
      <w:tr>
        <w:trPr>
          <w:trHeight w:val="16838" w:hRule="exact"/>
        </w:trPr>
        <w:tc>
          <w:tcPr>
            <w:tcBorders>
              <w:top w:val="none" w:color="FFFFFF" w:sz="0"/>
              <w:left w:val="none" w:color="FFFFFF" w:sz="0"/>
              <w:bottom w:val="none" w:color="FFFFFF" w:sz="0"/>
              <w:right w:val="none" w:color="FFFFFF" w:sz="0"/>
            </w:tcBorders>
            <w:shd w:fill="0B1C2C" w:val="clear"/>
          </w:tcPr>
          <w:p>
            <w:pPr>
              <w:spacing w:before="4092"/>
            </w:pPr>
          </w:p>
          <w:p>
            <w:pPr>
              <w:pBdr>
                <w:bottom w:val="single" w:color="529286" w:sz="6" w:space="8"/>
              </w:pBdr>
              <w:spacing w:after="500"/>
              <w:ind w:left="1200" w:right="800"/>
            </w:pPr>
            <w:r>
              <w:rPr>
                <w:rFonts w:ascii="Calibri" w:eastAsia="SimHei"/>
                <w:color w:val="529286"/>
                <w:spacing w:val="40"/>
                <w:sz w:val="18"/>
                <w:szCs w:val="18"/>
              </w:rPr>
              <w:t xml:space="preserve">O  R  I  G  I  N  A  L  I  T  Y     A  U  D  I  T     A  N  D     R  E  C  O  V  E  R  Y     P  L  A  N</w:t>
            </w:r>
          </w:p>
          <w:p>
            <w:pPr>
              <w:spacing w:after="100" w:line="920" w:lineRule="atLeast"/>
              <w:ind w:left="1200"/>
            </w:pPr>
            <w:r>
              <w:rPr>
                <w:rFonts w:ascii="Arial" w:eastAsia="SimHei"/>
                <w:b/>
                <w:bCs/>
                <w:color w:val="FFFFFF"/>
                <w:sz w:val="80"/>
                <w:szCs w:val="80"/>
              </w:rPr>
              <w:t xml:space="preserve">IJMLC 拒稿后原创性诊断与</w:t>
            </w:r>
          </w:p>
          <w:p>
            <w:pPr>
              <w:spacing w:after="300" w:line="920" w:lineRule="atLeast"/>
              <w:ind w:left="1200"/>
            </w:pPr>
            <w:r>
              <w:rPr>
                <w:rFonts w:ascii="Arial" w:eastAsia="SimHei"/>
                <w:b/>
                <w:bCs/>
                <w:color w:val="FFFFFF"/>
                <w:sz w:val="80"/>
                <w:szCs w:val="80"/>
              </w:rPr>
              <w:t xml:space="preserve">论文挽救方案</w:t>
            </w:r>
          </w:p>
          <w:p>
            <w:pPr>
              <w:spacing w:after="800"/>
              <w:ind w:left="1200"/>
            </w:pPr>
            <w:r>
              <w:rPr>
                <w:rFonts w:ascii="Arial" w:eastAsia="Microsoft YaHei"/>
                <w:color w:val="B0B8C0"/>
                <w:sz w:val="24"/>
                <w:szCs w:val="24"/>
              </w:rPr>
              <w:t xml:space="preserve">独立研究审计报告 · Independent Research Audit</w:t>
            </w:r>
          </w:p>
          <w:p>
            <w:pPr>
              <w:pBdr>
                <w:left w:val="single" w:color="529286" w:sz="8" w:space="12"/>
              </w:pBdr>
              <w:spacing w:after="80"/>
              <w:ind w:left="1400"/>
            </w:pPr>
            <w:r>
              <w:rPr>
                <w:rFonts w:ascii="Arial" w:eastAsia="Microsoft YaHei"/>
                <w:color w:val="90989F"/>
                <w:sz w:val="24"/>
                <w:szCs w:val="24"/>
              </w:rPr>
              <w:t xml:space="preserve">审计对象：Deep ensembles outperform snapshot ensembles and weight averaging for calibrated uncertainty under fixed training budgets（v4.1.2）</w:t>
            </w:r>
          </w:p>
          <w:p>
            <w:pPr>
              <w:pBdr>
                <w:left w:val="single" w:color="529286" w:sz="8" w:space="12"/>
              </w:pBdr>
              <w:spacing w:after="80"/>
              <w:ind w:left="1400"/>
            </w:pPr>
            <w:r>
              <w:rPr>
                <w:rFonts w:ascii="Arial" w:eastAsia="Microsoft YaHei"/>
                <w:color w:val="90989F"/>
                <w:sz w:val="24"/>
                <w:szCs w:val="24"/>
              </w:rPr>
              <w:t xml:space="preserve">证据基线：仓库 deep-ensembles-fixed-budget，main 分支 1bc7f61，release paper-v4.1.2</w:t>
            </w:r>
          </w:p>
          <w:p>
            <w:pPr>
              <w:pBdr>
                <w:left w:val="single" w:color="529286" w:sz="8" w:space="12"/>
              </w:pBdr>
              <w:spacing w:after="80"/>
              <w:ind w:left="1400"/>
            </w:pPr>
            <w:r>
              <w:rPr>
                <w:rFonts w:ascii="Arial" w:eastAsia="Microsoft YaHei"/>
                <w:color w:val="90989F"/>
                <w:sz w:val="24"/>
                <w:szCs w:val="24"/>
              </w:rPr>
              <w:t xml:space="preserve">拒稿依据：IJMLC 编辑初筛意见（未送外审）：原创性不足</w:t>
            </w:r>
          </w:p>
          <w:p>
            <w:pPr>
              <w:pBdr>
                <w:left w:val="single" w:color="529286" w:sz="8" w:space="12"/>
              </w:pBdr>
              <w:spacing w:after="80"/>
              <w:ind w:left="1400"/>
            </w:pPr>
            <w:r>
              <w:rPr>
                <w:rFonts w:ascii="Arial" w:eastAsia="Microsoft YaHei"/>
                <w:color w:val="90989F"/>
                <w:sz w:val="24"/>
                <w:szCs w:val="24"/>
              </w:rPr>
              <w:t xml:space="preserve">审计日期：2026 年 10 月 19 日</w:t>
            </w:r>
          </w:p>
          <w:p>
            <w:pPr>
              <w:spacing w:before="4092"/>
            </w:pPr>
          </w:p>
          <w:p>
            <w:pPr>
              <w:pBdr>
                <w:top w:val="single" w:color="529286" w:sz="2" w:space="8"/>
              </w:pBdr>
              <w:spacing w:before="200"/>
              <w:ind w:left="1200" w:right="800"/>
            </w:pPr>
            <w:r>
              <w:rPr>
                <w:rFonts w:ascii="Arial" w:eastAsia="Microsoft YaHei"/>
                <w:color w:val="687078"/>
                <w:sz w:val="16"/>
                <w:szCs w:val="16"/>
              </w:rPr>
              <w:t xml:space="preserve">Sole author: Chang Tan · Dalian University of Technology</w:t>
            </w:r>
            <w:r>
              <w:t xml:space="preserve">                                        </w:t>
            </w:r>
            <w:r>
              <w:rPr>
                <w:rFonts w:ascii="Arial" w:eastAsia="Microsoft YaHei"/>
                <w:color w:val="687078"/>
                <w:sz w:val="16"/>
                <w:szCs w:val="16"/>
              </w:rPr>
              <w:t xml:space="preserve">2026-10-19 · v1.0</w:t>
            </w:r>
          </w:p>
        </w:tc>
      </w:tr>
    </w:tbl>
    <w:p>
      <w:pPr>
        <w:sectPr>
          <w:pgSz w:w="11906" w:h="16838" w:orient="portrait"/>
          <w:pgMar w:top="0" w:right="0" w:bottom="0" w:left="0" w:header="708" w:footer="708" w:gutter="0"/>
          <w:docGrid w:linePitch="360"/>
        </w:sectPr>
      </w:pPr>
    </w:p>
    <w:p>
      <w:pPr>
        <w:spacing w:after="360" w:before="480"/>
        <w:jc w:val="center"/>
      </w:pPr>
      <w:r>
        <w:rPr>
          <w:rFonts w:ascii="Times New Roman" w:eastAsia="SimHei"/>
          <w:b/>
          <w:bCs/>
          <w:sz w:val="32"/>
          <w:szCs w:val="32"/>
        </w:rPr>
        <w:t xml:space="preserve">目  录</w:t>
      </w:r>
    </w:p>
    <w:sdt>
      <w:sdtPr>
        <w:alias w:val="Table of Contents"/>
      </w:sdtPr>
      <w:sdtContent>
        <w:p>
          <w:pPr>
            <w:pStyle w:val="TOC1"/>
            <w:tabs>
              <w:tab w:val="right" w:pos="8788" w:leader="dot"/>
            </w:tabs>
          </w:pPr>
          <w:r>
            <w:fldChar w:fldCharType="begin" w:dirty="true"/>
          </w:r>
          <w:r>
            <w:instrText xml:space="preserve">TOC \h \o "1-2"</w:instrText>
          </w:r>
          <w:r>
            <w:fldChar w:fldCharType="separate"/>
          </w:r>
          <w:hyperlink w:history="1" w:anchor="_Toc1">
            <w:r>
              <w:t xml:space="preserve">执行摘要：独立结论</w:t>
            </w:r>
            <w:r>
              <w:tab/>
            </w:r>
            <w:r>
              <w:fldChar w:fldCharType="begin" w:dirty="true"/>
              <w:instrText xml:space="preserve">PAGEREF _Toc1 \h</w:instrText>
              <w:fldChar w:fldCharType="separate"/>
              <w:fldChar w:fldCharType="end"/>
            </w:r>
          </w:hyperlink>
        </w:p>
        <w:p>
          <w:pPr>
            <w:pStyle w:val="9"/>
            <w:tabs>
              <w:tab w:val="right" w:leader="dot" w:pos="9026"/>
            </w:tabs>
            <w:spacing w:before="120" w:after="60"/>
          </w:pPr>
          <w:r>
            <w:t>执行摘要：独立结论</w:t>
          </w:r>
          <w:r>
            <w:tab/>
          </w:r>
          <w:r>
            <w:t>1</w:t>
          </w:r>
        </w:p>
        <w:p>
          <w:pPr>
            <w:pStyle w:val="9"/>
            <w:tabs>
              <w:tab w:val="right" w:leader="dot" w:pos="9026"/>
            </w:tabs>
            <w:spacing w:before="120" w:after="60"/>
          </w:pPr>
          <w:r>
            <w:t>第一章 研究现状还原</w:t>
          </w:r>
          <w:r>
            <w:tab/>
          </w:r>
          <w:r>
            <w:t>2</w:t>
          </w:r>
        </w:p>
        <w:p>
          <w:pPr>
            <w:pStyle w:val="11"/>
            <w:ind w:left="360"/>
            <w:tabs>
              <w:tab w:val="right" w:leader="dot" w:pos="9026"/>
            </w:tabs>
            <w:spacing w:before="120" w:after="60"/>
          </w:pPr>
          <w:r>
            <w:t>1.1 已实际完成的实验</w:t>
          </w:r>
          <w:r>
            <w:tab/>
          </w:r>
          <w:r>
            <w:t>2</w:t>
          </w:r>
        </w:p>
        <w:p>
          <w:pPr>
            <w:pStyle w:val="11"/>
            <w:ind w:left="360"/>
            <w:tabs>
              <w:tab w:val="right" w:leader="dot" w:pos="9026"/>
            </w:tabs>
            <w:spacing w:before="120" w:after="60"/>
          </w:pPr>
          <w:r>
            <w:t>1.2 由数据直接支持的结论</w:t>
          </w:r>
          <w:r>
            <w:tab/>
          </w:r>
          <w:r>
            <w:t>3</w:t>
          </w:r>
        </w:p>
        <w:p>
          <w:pPr>
            <w:pStyle w:val="11"/>
            <w:ind w:left="360"/>
            <w:tabs>
              <w:tab w:val="right" w:leader="dot" w:pos="9026"/>
            </w:tabs>
            <w:spacing w:before="120" w:after="60"/>
          </w:pPr>
          <w:r>
            <w:t>1.3 仍属推测或解释性的部分</w:t>
          </w:r>
          <w:r>
            <w:tab/>
          </w:r>
          <w:r>
            <w:t>3</w:t>
          </w:r>
        </w:p>
        <w:p>
          <w:pPr>
            <w:pStyle w:val="11"/>
            <w:ind w:left="360"/>
            <w:tabs>
              <w:tab w:val="right" w:leader="dot" w:pos="9026"/>
            </w:tabs>
            <w:spacing w:before="120" w:after="60"/>
          </w:pPr>
          <w:r>
            <w:t>1.4 需要额外实验才能支持的主张</w:t>
          </w:r>
          <w:r>
            <w:tab/>
          </w:r>
          <w:r>
            <w:t>3</w:t>
          </w:r>
        </w:p>
        <w:p>
          <w:pPr>
            <w:pStyle w:val="11"/>
            <w:ind w:left="360"/>
            <w:tabs>
              <w:tab w:val="right" w:leader="dot" w:pos="9026"/>
            </w:tabs>
            <w:spacing w:before="120" w:after="60"/>
          </w:pPr>
          <w:r>
            <w:t>1.5 历史问题与修复链</w:t>
          </w:r>
          <w:r>
            <w:tab/>
          </w:r>
          <w:r>
            <w:t>3</w:t>
          </w:r>
        </w:p>
        <w:p>
          <w:pPr>
            <w:pStyle w:val="9"/>
            <w:tabs>
              <w:tab w:val="right" w:leader="dot" w:pos="9026"/>
            </w:tabs>
            <w:spacing w:before="120" w:after="60"/>
          </w:pPr>
          <w:r>
            <w:t>第二章 原创性差距分析</w:t>
          </w:r>
          <w:r>
            <w:tab/>
          </w:r>
          <w:r>
            <w:t>4</w:t>
          </w:r>
        </w:p>
        <w:p>
          <w:pPr>
            <w:pStyle w:val="11"/>
            <w:ind w:left="360"/>
            <w:tabs>
              <w:tab w:val="right" w:leader="dot" w:pos="9026"/>
            </w:tabs>
            <w:spacing w:before="120" w:after="60"/>
          </w:pPr>
          <w:r>
            <w:t>2.1 检索方法与范围</w:t>
          </w:r>
          <w:r>
            <w:tab/>
          </w:r>
          <w:r>
            <w:t>4</w:t>
          </w:r>
        </w:p>
        <w:p>
          <w:pPr>
            <w:pStyle w:val="11"/>
            <w:ind w:left="360"/>
            <w:tabs>
              <w:tab w:val="right" w:leader="dot" w:pos="9026"/>
            </w:tabs>
            <w:spacing w:before="120" w:after="60"/>
          </w:pPr>
          <w:r>
            <w:t>2.2 最接近研究的逐项对照</w:t>
          </w:r>
          <w:r>
            <w:tab/>
          </w:r>
          <w:r>
            <w:t>4</w:t>
          </w:r>
        </w:p>
        <w:p>
          <w:pPr>
            <w:pStyle w:val="11"/>
            <w:ind w:left="360"/>
            <w:tabs>
              <w:tab w:val="right" w:leader="dot" w:pos="9026"/>
            </w:tabs>
            <w:spacing w:before="120" w:after="60"/>
          </w:pPr>
          <w:r>
            <w:t>2.3 差异定性：本文每个元素属于哪一类</w:t>
          </w:r>
          <w:r>
            <w:tab/>
          </w:r>
          <w:r>
            <w:t>4</w:t>
          </w:r>
        </w:p>
        <w:p>
          <w:pPr>
            <w:pStyle w:val="9"/>
            <w:tabs>
              <w:tab w:val="right" w:leader="dot" w:pos="9026"/>
            </w:tabs>
            <w:spacing w:before="120" w:after="60"/>
          </w:pPr>
          <w:r>
            <w:t>第三章 拒稿原因的证据化解释</w:t>
          </w:r>
          <w:r>
            <w:tab/>
          </w:r>
          <w:r>
            <w:t>5</w:t>
          </w:r>
        </w:p>
        <w:p>
          <w:pPr>
            <w:pStyle w:val="11"/>
            <w:ind w:left="360"/>
            <w:tabs>
              <w:tab w:val="right" w:leader="dot" w:pos="9026"/>
            </w:tabs>
            <w:spacing w:before="120" w:after="60"/>
          </w:pPr>
          <w:r>
            <w:t>3.1 为什么严谨的研究仍被初筛拒绝</w:t>
          </w:r>
          <w:r>
            <w:tab/>
          </w:r>
          <w:r>
            <w:t>5</w:t>
          </w:r>
        </w:p>
        <w:p>
          <w:pPr>
            <w:pStyle w:val="11"/>
            <w:ind w:left="360"/>
            <w:tabs>
              <w:tab w:val="right" w:leader="dot" w:pos="9026"/>
            </w:tabs>
            <w:spacing w:before="120" w:after="60"/>
          </w:pPr>
          <w:r>
            <w:t>3.2 真正新增了什么知识</w:t>
          </w:r>
          <w:r>
            <w:tab/>
          </w:r>
          <w:r>
            <w:t>5</w:t>
          </w:r>
        </w:p>
        <w:p>
          <w:pPr>
            <w:pStyle w:val="11"/>
            <w:ind w:left="360"/>
            <w:tabs>
              <w:tab w:val="right" w:leader="dot" w:pos="9026"/>
            </w:tabs>
            <w:spacing w:before="120" w:after="60"/>
          </w:pPr>
          <w:r>
            <w:t>3.3 新增知识是否足够重要、可推广、可复现</w:t>
          </w:r>
          <w:r>
            <w:tab/>
          </w:r>
          <w:r>
            <w:t>6</w:t>
          </w:r>
        </w:p>
        <w:p>
          <w:pPr>
            <w:pStyle w:val="11"/>
            <w:ind w:left="360"/>
            <w:tabs>
              <w:tab w:val="right" w:leader="dot" w:pos="9026"/>
            </w:tabs>
            <w:spacing w:before="120" w:after="60"/>
          </w:pPr>
          <w:r>
            <w:t>3.4 共识验证还是未揭示的规律</w:t>
          </w:r>
          <w:r>
            <w:tab/>
          </w:r>
          <w:r>
            <w:t>6</w:t>
          </w:r>
        </w:p>
        <w:p>
          <w:pPr>
            <w:pStyle w:val="11"/>
            <w:ind w:left="360"/>
            <w:tabs>
              <w:tab w:val="right" w:leader="dot" w:pos="9026"/>
            </w:tabs>
            <w:spacing w:before="120" w:after="60"/>
          </w:pPr>
          <w:r>
            <w:t>3.5 如果我是编辑：当前版本会再次被拒吗</w:t>
          </w:r>
          <w:r>
            <w:tab/>
          </w:r>
          <w:r>
            <w:t>6</w:t>
          </w:r>
        </w:p>
        <w:p>
          <w:pPr>
            <w:pStyle w:val="9"/>
            <w:tabs>
              <w:tab w:val="right" w:leader="dot" w:pos="9026"/>
            </w:tabs>
            <w:spacing w:before="120" w:after="60"/>
          </w:pPr>
          <w:r>
            <w:t>第四章 三个投入水平的研究方案</w:t>
          </w:r>
          <w:r>
            <w:tab/>
          </w:r>
          <w:r>
            <w:t>6</w:t>
          </w:r>
        </w:p>
        <w:p>
          <w:pPr>
            <w:pStyle w:val="11"/>
            <w:ind w:left="360"/>
            <w:tabs>
              <w:tab w:val="right" w:leader="dot" w:pos="9026"/>
            </w:tabs>
            <w:spacing w:before="120" w:after="60"/>
          </w:pPr>
          <w:r>
            <w:t>4.1 方案 A：最小改动（重定位为受控实证研究）</w:t>
          </w:r>
          <w:r>
            <w:tab/>
          </w:r>
          <w:r>
            <w:t>7</w:t>
          </w:r>
        </w:p>
        <w:p>
          <w:pPr>
            <w:pStyle w:val="11"/>
            <w:ind w:left="360"/>
            <w:tabs>
              <w:tab w:val="right" w:leader="dot" w:pos="9026"/>
            </w:tabs>
            <w:spacing w:before="120" w:after="60"/>
          </w:pPr>
          <w:r>
            <w:t>4.2 方案 B：中等改动（预算分配规律）</w:t>
          </w:r>
          <w:r>
            <w:tab/>
          </w:r>
          <w:r>
            <w:t>7</w:t>
          </w:r>
        </w:p>
        <w:p>
          <w:pPr>
            <w:pStyle w:val="11"/>
            <w:ind w:left="360"/>
            <w:tabs>
              <w:tab w:val="right" w:leader="dot" w:pos="9026"/>
            </w:tabs>
            <w:spacing w:before="120" w:after="60"/>
          </w:pPr>
          <w:r>
            <w:t>4.3 方案 C：高投入（校准感知的预算分配算法）</w:t>
          </w:r>
          <w:r>
            <w:tab/>
          </w:r>
          <w:r>
            <w:t>7</w:t>
          </w:r>
        </w:p>
        <w:p>
          <w:pPr>
            <w:pStyle w:val="11"/>
            <w:ind w:left="360"/>
            <w:tabs>
              <w:tab w:val="right" w:leader="dot" w:pos="9026"/>
            </w:tabs>
            <w:spacing w:before="120" w:after="60"/>
          </w:pPr>
          <w:r>
            <w:t>4.4 三方案对比</w:t>
          </w:r>
          <w:r>
            <w:tab/>
          </w:r>
          <w:r>
            <w:t>7</w:t>
          </w:r>
        </w:p>
        <w:p>
          <w:pPr>
            <w:pStyle w:val="9"/>
            <w:tabs>
              <w:tab w:val="right" w:leader="dot" w:pos="9026"/>
            </w:tabs>
            <w:spacing w:before="120" w:after="60"/>
          </w:pPr>
          <w:r>
            <w:t>第五章 最推荐方案及实施步骤</w:t>
          </w:r>
          <w:r>
            <w:tab/>
          </w:r>
          <w:r>
            <w:t>8</w:t>
          </w:r>
        </w:p>
        <w:p>
          <w:pPr>
            <w:pStyle w:val="9"/>
            <w:tabs>
              <w:tab w:val="right" w:leader="dot" w:pos="9026"/>
            </w:tabs>
            <w:spacing w:before="120" w:after="60"/>
          </w:pPr>
          <w:r>
            <w:t>第六章 新增实验必要性清单</w:t>
          </w:r>
          <w:r>
            <w:tab/>
          </w:r>
          <w:r>
            <w:t>8</w:t>
          </w:r>
        </w:p>
        <w:p>
          <w:pPr>
            <w:pStyle w:val="11"/>
            <w:ind w:left="360"/>
            <w:tabs>
              <w:tab w:val="right" w:leader="dot" w:pos="9026"/>
            </w:tabs>
            <w:spacing w:before="120" w:after="60"/>
          </w:pPr>
          <w:r>
            <w:t>6.1 从现有数据可挖的分析（本次审计已完成检验）</w:t>
          </w:r>
          <w:r>
            <w:tab/>
          </w:r>
          <w:r>
            <w:t>8</w:t>
          </w:r>
        </w:p>
        <w:p>
          <w:pPr>
            <w:pStyle w:val="11"/>
            <w:ind w:left="360"/>
            <w:tabs>
              <w:tab w:val="right" w:leader="dot" w:pos="9026"/>
            </w:tabs>
            <w:spacing w:before="120" w:after="60"/>
          </w:pPr>
          <w:r>
            <w:t>6.2 必须新增的实验（仅方案 B 所列）</w:t>
          </w:r>
          <w:r>
            <w:tab/>
          </w:r>
          <w:r>
            <w:t>9</w:t>
          </w:r>
        </w:p>
        <w:p>
          <w:pPr>
            <w:pStyle w:val="11"/>
            <w:ind w:left="360"/>
            <w:tabs>
              <w:tab w:val="right" w:leader="dot" w:pos="9026"/>
            </w:tabs>
            <w:spacing w:before="120" w:after="60"/>
          </w:pPr>
          <w:r>
            <w:t>6.3 可选强化（作者资源决定，非必需）</w:t>
          </w:r>
          <w:r>
            <w:tab/>
          </w:r>
          <w:r>
            <w:t>9</w:t>
          </w:r>
        </w:p>
        <w:p>
          <w:pPr>
            <w:pStyle w:val="11"/>
            <w:ind w:left="360"/>
            <w:tabs>
              <w:tab w:val="right" w:leader="dot" w:pos="9026"/>
            </w:tabs>
            <w:spacing w:before="120" w:after="60"/>
          </w:pPr>
          <w:r>
            <w:t>6.4 明确不再做的实验</w:t>
          </w:r>
          <w:r>
            <w:tab/>
          </w:r>
          <w:r>
            <w:t>9</w:t>
          </w:r>
        </w:p>
        <w:p>
          <w:pPr>
            <w:pStyle w:val="9"/>
            <w:tabs>
              <w:tab w:val="right" w:leader="dot" w:pos="9026"/>
            </w:tabs>
            <w:spacing w:before="120" w:after="60"/>
          </w:pPr>
          <w:r>
            <w:t>第七章 停止规则</w:t>
          </w:r>
          <w:r>
            <w:tab/>
          </w:r>
          <w:r>
            <w:t>9</w:t>
          </w:r>
        </w:p>
        <w:p>
          <w:pPr>
            <w:pStyle w:val="9"/>
            <w:tabs>
              <w:tab w:val="right" w:leader="dot" w:pos="9026"/>
            </w:tabs>
            <w:spacing w:before="120" w:after="60"/>
          </w:pPr>
          <w:r>
            <w:t>第八章 下一阶段工作计划</w:t>
          </w:r>
          <w:r>
            <w:tab/>
          </w:r>
          <w:r>
            <w:t>10</w:t>
          </w:r>
        </w:p>
        <w:p>
          <w:pPr>
            <w:pStyle w:val="9"/>
            <w:tabs>
              <w:tab w:val="right" w:leader="dot" w:pos="9026"/>
            </w:tabs>
            <w:spacing w:before="120" w:after="60"/>
          </w:pPr>
          <w:r>
            <w:t>第九章 期刊重选判断框架</w:t>
          </w:r>
          <w:r>
            <w:tab/>
          </w:r>
          <w:r>
            <w:t>10</w:t>
          </w:r>
        </w:p>
        <w:p>
          <w:pPr>
            <w:pStyle w:val="11"/>
            <w:ind w:left="360"/>
            <w:tabs>
              <w:tab w:val="right" w:leader="dot" w:pos="9026"/>
            </w:tabs>
            <w:spacing w:before="120" w:after="60"/>
          </w:pPr>
          <w:r>
            <w:t>9.1 TMLR 特别注意事项</w:t>
          </w:r>
          <w:r>
            <w:tab/>
          </w:r>
          <w:r>
            <w:t>11</w:t>
          </w:r>
        </w:p>
        <w:p>
          <w:pPr>
            <w:pStyle w:val="9"/>
            <w:tabs>
              <w:tab w:val="right" w:leader="dot" w:pos="9026"/>
            </w:tabs>
            <w:spacing w:before="120" w:after="60"/>
          </w:pPr>
          <w:r>
            <w:t>结语：对最终问题的明确回答</w:t>
          </w:r>
          <w:r>
            <w:tab/>
          </w:r>
          <w:r>
            <w:t>11</w:t>
          </w:r>
        </w:p>
        <w:p>
          <w:pPr>
            <w:pStyle w:val="9"/>
            <w:tabs>
              <w:tab w:val="right" w:leader="dot" w:pos="9026"/>
            </w:tabs>
            <w:spacing w:before="120" w:after="60"/>
          </w:pPr>
          <w:r>
            <w:t>附录 可核验性记录</w:t>
          </w:r>
          <w:r>
            <w:tab/>
          </w:r>
          <w:r>
            <w:t>11</w:t>
          </w:r>
        </w:p>
        <w:p>
          <w:r>
            <w:fldChar w:fldCharType="end"/>
          </w:r>
        </w:p>
      </w:sdtContent>
    </w:sdt>
    <w:p>
      <w:pPr>
        <w:spacing w:before="200"/>
        <w:sectPr>
          <w:headerReference w:type="default" r:id="rId6"/>
          <w:footerReference w:type="default" r:id="rId7"/>
          <w:type w:val="nextPage"/>
          <w:pgSz w:w="11906" w:h="16838" w:orient="portrait"/>
          <w:pgMar w:top="1440" w:right="1417" w:bottom="1440" w:left="1701" w:header="708" w:footer="708" w:gutter="0"/>
          <w:pgNumType w:start="1" w:fmt="upperRoman"/>
          <w:docGrid w:linePitch="360"/>
        </w:sectPr>
      </w:pPr>
      <w:r>
        <w:rPr>
          <w:rFonts w:ascii="Times New Roman" w:eastAsia="SimSun"/>
          <w:i/>
          <w:iCs/>
          <w:color w:val="888888"/>
          <w:sz w:val="18"/>
          <w:szCs w:val="18"/>
        </w:rPr>
        <w:t xml:space="preserve">注：本目录由域代码生成。编辑文档后请在目录上右键选择更新域，以刷新页码。</w:t>
      </w:r>
    </w:p>
    <w:p>
      <w:pPr>
        <w:pStyle w:val="Heading1"/>
        <w:spacing w:after="160" w:before="360" w:line="380" w:lineRule="atLeast"/>
      </w:pPr>
      <w:bookmarkStart w:name="_Toc1" w:id="1"/>
      <w:r>
        <w:rPr>
          <w:rFonts w:ascii="Times New Roman" w:eastAsia="SimHei"/>
          <w:b/>
          <w:bCs/>
          <w:color w:val="0B1C2C"/>
          <w:sz w:val="32"/>
          <w:szCs w:val="32"/>
        </w:rPr>
        <w:t xml:space="preserve">执行摘要：独立结论</w:t>
      </w:r>
      <w:bookmarkEnd w:id="1"/>
    </w:p>
    <w:p>
      <w:pPr>
        <w:keepNext w:val="false"/>
        <w:spacing w:after="80" w:line="312"/>
        <w:ind w:firstLine="480"/>
        <w:jc w:val="both"/>
      </w:pPr>
      <w:r>
        <w:rPr>
          <w:rFonts w:ascii="Times New Roman" w:eastAsia="SimSun"/>
          <w:b w:val="false"/>
          <w:bCs w:val="false"/>
          <w:color w:val="000000"/>
          <w:sz w:val="24"/>
          <w:szCs w:val="24"/>
        </w:rPr>
        <w:t xml:space="preserve">本报告是对论文 </w:t>
      </w:r>
      <w:r>
        <w:rPr>
          <w:rFonts w:ascii="Times New Roman" w:eastAsia="SimSun"/>
          <w:b w:val="false"/>
          <w:bCs w:val="false"/>
          <w:color w:val="000000"/>
          <w:sz w:val="24"/>
          <w:szCs w:val="24"/>
        </w:rPr>
        <w:t xml:space="preserve">Deep ensembles outperform snapshot ensembles and weight averaging for calibrated uncertainty under fixed training budgets</w:t>
      </w:r>
      <w:r>
        <w:rPr>
          <w:rFonts w:ascii="Times New Roman" w:eastAsia="SimSun"/>
          <w:b w:val="false"/>
          <w:bCs w:val="false"/>
          <w:color w:val="000000"/>
          <w:sz w:val="24"/>
          <w:szCs w:val="24"/>
        </w:rPr>
        <w:t xml:space="preserve">（单作者，v4.1.2 投稿版）被 IJMLC 编辑初筛拒稿一事的独立审计。审计从仓库原始数据出发重新核验了研究现状，检索并核对了最接近的文献，评估了拒稿原因，并给出三个投入水平的研究方案与停止规则。以下五点是核心结论，正文各章提供完整证据。</w:t>
      </w:r>
    </w:p>
    <w:p>
      <w:pPr>
        <w:keepNext w:val="false"/>
        <w:spacing w:after="80" w:line="312"/>
        <w:ind w:firstLine="480"/>
        <w:jc w:val="both"/>
      </w:pPr>
      <w:r>
        <w:rPr>
          <w:rFonts w:ascii="Times New Roman" w:eastAsia="SimSun"/>
          <w:b/>
          <w:bCs/>
          <w:color w:val="000000"/>
          <w:sz w:val="24"/>
          <w:szCs w:val="24"/>
        </w:rPr>
        <w:t xml:space="preserve">第一，论文本身没有可被指认的方法学或数据缺陷。</w:t>
      </w:r>
      <w:r>
        <w:rPr>
          <w:rFonts w:ascii="Times New Roman" w:eastAsia="SimSun"/>
          <w:b w:val="false"/>
          <w:bCs w:val="false"/>
          <w:color w:val="000000"/>
          <w:sz w:val="24"/>
          <w:szCs w:val="24"/>
        </w:rPr>
        <w:t xml:space="preserve">本次审计直接从 results/ 目录的逐种子 JSONL 记录复算了关键统计（排名一致性、预算趋势、验证曲线、机制相关），与稿件报告一致；历史累计 241 项独立数值核验中 232 项完全复现、9 项例外均有书面处置记录。拒稿理由不是已确认的错误，而是编辑对原创性的内容判断。</w:t>
      </w:r>
    </w:p>
    <w:p>
      <w:pPr>
        <w:keepNext w:val="false"/>
        <w:spacing w:after="80" w:line="312"/>
        <w:ind w:firstLine="480"/>
        <w:jc w:val="both"/>
      </w:pPr>
      <w:r>
        <w:rPr>
          <w:rFonts w:ascii="Times New Roman" w:eastAsia="SimSun"/>
          <w:b/>
          <w:bCs/>
          <w:color w:val="000000"/>
          <w:sz w:val="24"/>
          <w:szCs w:val="24"/>
        </w:rPr>
        <w:t xml:space="preserve">第二，拒稿的实质是定位失败，而非质量失败。</w:t>
      </w:r>
      <w:r>
        <w:rPr>
          <w:rFonts w:ascii="Times New Roman" w:eastAsia="SimSun"/>
          <w:b w:val="false"/>
          <w:bCs w:val="false"/>
          <w:color w:val="000000"/>
          <w:sz w:val="24"/>
          <w:szCs w:val="24"/>
        </w:rPr>
        <w:t xml:space="preserve">标题与摘要的头牌主张（集成优于其他策略）是领域共识的直接重述；而论文真正新的三个元素——检查点级配对隔离组合机制、快照集成免费午餐在校准轴上的失效、预算放大规律（DeepEns 对 Single 的 NLL 优势随预算 30/60/120 单调放大 0.075、0.225、0.332）——被排在六条贡献列表的中后部。编辑在初筛的模式匹配中看到的是又一篇确认共识的小规模比较研究。</w:t>
      </w:r>
    </w:p>
    <w:p>
      <w:pPr>
        <w:keepNext w:val="false"/>
        <w:spacing w:after="80" w:line="312"/>
        <w:ind w:firstLine="480"/>
        <w:jc w:val="both"/>
      </w:pPr>
      <w:r>
        <w:rPr>
          <w:rFonts w:ascii="Times New Roman" w:eastAsia="SimSun"/>
          <w:b/>
          <w:bCs/>
          <w:color w:val="000000"/>
          <w:sz w:val="24"/>
          <w:szCs w:val="24"/>
        </w:rPr>
        <w:t xml:space="preserve">第三，原创性分级必须诚实。</w:t>
      </w:r>
      <w:r>
        <w:rPr>
          <w:rFonts w:ascii="Times New Roman" w:eastAsia="SimSun"/>
          <w:b w:val="false"/>
          <w:bCs w:val="false"/>
          <w:color w:val="000000"/>
          <w:sz w:val="24"/>
          <w:szCs w:val="24"/>
        </w:rPr>
        <w:t xml:space="preserve">按本报告第二章的逐项判定：设计的预算匹配与检查点配对属于更严格的实验控制而非新知识；温度缩放与 OOD 的主体结论属于确认已知结果；快照集成的校准缺陷属于新的边界性经验发现；预算放大规律是论文最接近可检验规律的增量。这一组合在以新颖性为门槛的期刊不足以通过初筛，编辑的判断可以辩护，尽管其代价是论文中确实存在的窄增量被一同否决。</w:t>
      </w:r>
    </w:p>
    <w:p>
      <w:pPr>
        <w:keepNext w:val="false"/>
        <w:spacing w:after="80" w:line="312"/>
        <w:ind w:firstLine="480"/>
        <w:jc w:val="both"/>
      </w:pPr>
      <w:r>
        <w:rPr>
          <w:rFonts w:ascii="Times New Roman" w:eastAsia="SimSun"/>
          <w:b/>
          <w:bCs/>
          <w:color w:val="000000"/>
          <w:sz w:val="24"/>
          <w:szCs w:val="24"/>
        </w:rPr>
        <w:t xml:space="preserve">第四，推荐方案 B（中等投入）。</w:t>
      </w:r>
      <w:r>
        <w:rPr>
          <w:rFonts w:ascii="Times New Roman" w:eastAsia="SimSun"/>
          <w:b w:val="false"/>
          <w:bCs w:val="false"/>
          <w:color w:val="000000"/>
          <w:sz w:val="24"/>
          <w:szCs w:val="24"/>
        </w:rPr>
        <w:t xml:space="preserve">以固定预算下的集成规模分配规律（k 与 B 的联合扫描）为新研究问题，全部实验可在现有 CPU 管线上约一周内完成，总周期约 4 至 6 周。它把论文从验证共识升级为提出并检验一条新的经验规律加决策规则，且失败条件明确、沉没成本可控。纯润色转投常规机器学习期刊被判定为不值得（见结语），TMLR 是唯一合理的低成本退出通道，但那需要重定位而非润色。</w:t>
      </w:r>
    </w:p>
    <w:p>
      <w:pPr>
        <w:keepNext w:val="false"/>
        <w:spacing w:after="80" w:line="312"/>
        <w:ind w:firstLine="480"/>
        <w:jc w:val="both"/>
      </w:pPr>
      <w:r>
        <w:rPr>
          <w:rFonts w:ascii="Times New Roman" w:eastAsia="SimSun"/>
          <w:b/>
          <w:bCs/>
          <w:color w:val="000000"/>
          <w:sz w:val="24"/>
          <w:szCs w:val="24"/>
        </w:rPr>
        <w:t xml:space="preserve">第五，对最终问题的回答。</w:t>
      </w:r>
      <w:r>
        <w:rPr>
          <w:rFonts w:ascii="Times New Roman" w:eastAsia="SimSun"/>
          <w:b w:val="false"/>
          <w:bCs w:val="false"/>
          <w:color w:val="000000"/>
          <w:sz w:val="24"/>
          <w:szCs w:val="24"/>
        </w:rPr>
        <w:t xml:space="preserve">不新增任何实质性科学贡献、仅对现有稿件润色并转投，在绝大多数期刊场景下不值得：拒稿理由是内容判断，润色不改变模式匹配的输入；每一轮初筛耗费 4 至 10 周且无学习信号；同一原因的连续拒稿会累积成不利记录。唯一例外是以主张-证据支持而非新颖性为录取标准的 TMLR，但该路线要求重写标题与定位、并按其政策如实处理大语言模型参与工作流的披露问题。</w:t>
      </w:r>
    </w:p>
    <w:p>
      <w:pPr>
        <w:pStyle w:val="Heading1"/>
        <w:spacing w:after="160" w:before="360" w:line="380" w:lineRule="atLeast"/>
      </w:pPr>
      <w:bookmarkStart w:name="_Toc2" w:id="2"/>
      <w:r>
        <w:rPr>
          <w:rFonts w:ascii="Times New Roman" w:eastAsia="SimHei"/>
          <w:b/>
          <w:bCs/>
          <w:color w:val="0B1C2C"/>
          <w:sz w:val="32"/>
          <w:szCs w:val="32"/>
        </w:rPr>
        <w:t xml:space="preserve">第一章 研究现状还原</w:t>
      </w:r>
      <w:bookmarkEnd w:id="2"/>
    </w:p>
    <w:p>
      <w:pPr>
        <w:keepNext w:val="false"/>
        <w:spacing w:after="80" w:line="312"/>
        <w:ind w:firstLine="480"/>
        <w:jc w:val="both"/>
      </w:pPr>
      <w:r>
        <w:rPr>
          <w:rFonts w:ascii="Times New Roman" w:eastAsia="SimSun"/>
          <w:b w:val="false"/>
          <w:bCs w:val="false"/>
          <w:color w:val="000000"/>
          <w:sz w:val="24"/>
          <w:szCs w:val="24"/>
        </w:rPr>
        <w:t xml:space="preserve">本章从仓库的原始记录而非论文摘要出发，区分五类事实：已实际完成的实验、由数据直接支持的结论、仍属推测的机制解释、需要额外实验才能支持的主张、以及历史版本中已修正或仍遗留的问题。所有数值均可用附录 A 列出的文件与脚本复现。</w:t>
      </w:r>
    </w:p>
    <w:p>
      <w:pPr>
        <w:pStyle w:val="Heading2"/>
        <w:spacing w:after="120" w:before="260" w:line="350" w:lineRule="atLeast"/>
      </w:pPr>
      <w:bookmarkStart w:name="_Toc3" w:id="3"/>
      <w:r>
        <w:rPr>
          <w:rFonts w:ascii="Times New Roman" w:eastAsia="SimHei"/>
          <w:b/>
          <w:bCs/>
          <w:color w:val="0B1C2C"/>
          <w:sz w:val="28"/>
          <w:szCs w:val="28"/>
        </w:rPr>
        <w:t xml:space="preserve">1.1 已实际完成的实验</w:t>
      </w:r>
      <w:bookmarkEnd w:id="3"/>
    </w:p>
    <w:p>
      <w:pPr>
        <w:keepNext w:val="false"/>
        <w:spacing w:after="80" w:line="312"/>
        <w:ind w:firstLine="480"/>
        <w:jc w:val="both"/>
      </w:pPr>
      <w:r>
        <w:rPr>
          <w:rFonts w:ascii="Times New Roman" w:eastAsia="SimSun"/>
          <w:b w:val="false"/>
          <w:bCs w:val="false"/>
          <w:color w:val="000000"/>
          <w:sz w:val="24"/>
          <w:szCs w:val="24"/>
        </w:rPr>
        <w:t xml:space="preserve">全部实验可追溯到六组逐种子 JSONL 记录（每条含四种条件在该种子下的全部指标、逐 epoch 训练历史、成员级测量与可靠性直方图），外加一组探索性的 SWA-dense 变体。核心设置为 Fashion-MNIST、MLP 约 110k 参数、总预算 B=60 epoch、k=3、10 个种子；统计设计（对比族、主结局、多重校正方案）在任何测试集评估之前预注册（research-docs/research-design.md，2026-09-22）。扩展设置覆盖预算 30/60/120、规模 k=3/5、MNIST 反向方向、KMNIST 第二 OOD 探针、逐条件温度缩放，以及标注为事后分析的 CIFAR-10 小型 CNN 复制。</w:t>
      </w:r>
    </w:p>
    <w:p>
      <w:pPr>
        <w:keepNext/>
        <w:spacing w:after="100" w:before="160" w:line="280"/>
        <w:jc w:val="center"/>
      </w:pPr>
      <w:r>
        <w:rPr>
          <w:rFonts w:ascii="Times New Roman" w:eastAsia="SimHei"/>
          <w:b/>
          <w:bCs/>
          <w:color w:val="404040"/>
          <w:sz w:val="21"/>
          <w:szCs w:val="21"/>
        </w:rPr>
        <w:t xml:space="preserve">表 1-1 实验资产与完成状态（全部存在于公开仓库）</w:t>
      </w:r>
    </w:p>
    <w:tbl>
      <w:tblPr>
        <w:tblW w:type="pct" w:w="5000"/>
        <w:tblBorders>
          <w:top w:val="single" w:color="529286" w:sz="6"/>
          <w:left w:val="none" w:color="FFFFFF" w:sz="0"/>
          <w:bottom w:val="single" w:color="529286" w:sz="6"/>
          <w:right w:val="none" w:color="FFFFFF" w:sz="0"/>
          <w:insideH w:val="single" w:color="C8D4D0" w:sz="2"/>
          <w:insideV w:val="none" w:color="FFFFFF" w:sz="0"/>
        </w:tblBorders>
      </w:tblPr>
      <w:tblGrid>
        <w:gridCol w:w="2109"/>
        <w:gridCol w:w="2988"/>
        <w:gridCol w:w="1758"/>
        <w:gridCol w:w="1933"/>
      </w:tblGrid>
      <w:tr>
        <w:trPr>
          <w:cantSplit/>
          <w:tblHeader/>
        </w:trPr>
        <w:tc>
          <w:tcPr>
            <w:tcW w:type="pct" w:w="1200"/>
            <w:shd w:fill="529286" w:val="clear"/>
            <w:tcMar>
              <w:top w:type="dxa" w:w="70"/>
              <w:left w:type="dxa" w:w="100"/>
              <w:bottom w:type="dxa" w:w="70"/>
              <w:right w:type="dxa" w:w="100"/>
            </w:tcMar>
          </w:tcPr>
          <w:p>
            <w:pPr>
              <w:spacing w:line="260"/>
              <w:jc w:val="center"/>
            </w:pPr>
            <w:r>
              <w:rPr>
                <w:rFonts w:ascii="Times New Roman" w:eastAsia="SimHei"/>
                <w:b/>
                <w:bCs/>
                <w:color w:val="FFFFFF"/>
                <w:sz w:val="20"/>
                <w:szCs w:val="20"/>
              </w:rPr>
              <w:t xml:space="preserve">实验组</w:t>
            </w:r>
          </w:p>
        </w:tc>
        <w:tc>
          <w:tcPr>
            <w:tcW w:type="pct" w:w="1700"/>
            <w:shd w:fill="529286" w:val="clear"/>
            <w:tcMar>
              <w:top w:type="dxa" w:w="70"/>
              <w:left w:type="dxa" w:w="100"/>
              <w:bottom w:type="dxa" w:w="70"/>
              <w:right w:type="dxa" w:w="100"/>
            </w:tcMar>
          </w:tcPr>
          <w:p>
            <w:pPr>
              <w:spacing w:line="260"/>
              <w:jc w:val="center"/>
            </w:pPr>
            <w:r>
              <w:rPr>
                <w:rFonts w:ascii="Times New Roman" w:eastAsia="SimHei"/>
                <w:b/>
                <w:bCs/>
                <w:color w:val="FFFFFF"/>
                <w:sz w:val="20"/>
                <w:szCs w:val="20"/>
              </w:rPr>
              <w:t xml:space="preserve">文件（results/）</w:t>
            </w:r>
          </w:p>
        </w:tc>
        <w:tc>
          <w:tcPr>
            <w:tcW w:type="pct" w:w="1000"/>
            <w:shd w:fill="529286" w:val="clear"/>
            <w:tcMar>
              <w:top w:type="dxa" w:w="70"/>
              <w:left w:type="dxa" w:w="100"/>
              <w:bottom w:type="dxa" w:w="70"/>
              <w:right w:type="dxa" w:w="100"/>
            </w:tcMar>
          </w:tcPr>
          <w:p>
            <w:pPr>
              <w:spacing w:line="260"/>
              <w:jc w:val="center"/>
            </w:pPr>
            <w:r>
              <w:rPr>
                <w:rFonts w:ascii="Times New Roman" w:eastAsia="SimHei"/>
                <w:b/>
                <w:bCs/>
                <w:color w:val="FFFFFF"/>
                <w:sz w:val="20"/>
                <w:szCs w:val="20"/>
              </w:rPr>
              <w:t xml:space="preserve">规模</w:t>
            </w:r>
          </w:p>
        </w:tc>
        <w:tc>
          <w:tcPr>
            <w:tcW w:type="pct" w:w="1100"/>
            <w:shd w:fill="529286" w:val="clear"/>
            <w:tcMar>
              <w:top w:type="dxa" w:w="70"/>
              <w:left w:type="dxa" w:w="100"/>
              <w:bottom w:type="dxa" w:w="70"/>
              <w:right w:type="dxa" w:w="100"/>
            </w:tcMar>
          </w:tcPr>
          <w:p>
            <w:pPr>
              <w:spacing w:line="260"/>
              <w:jc w:val="center"/>
            </w:pPr>
            <w:r>
              <w:rPr>
                <w:rFonts w:ascii="Times New Roman" w:eastAsia="SimHei"/>
                <w:b/>
                <w:bCs/>
                <w:color w:val="FFFFFF"/>
                <w:sz w:val="20"/>
                <w:szCs w:val="20"/>
              </w:rPr>
              <w:t xml:space="preserve">性质</w:t>
            </w:r>
          </w:p>
        </w:tc>
      </w:tr>
      <w:tr>
        <w:trPr>
          <w:cantSplit/>
        </w:trPr>
        <w:tc>
          <w:tcPr>
            <w:tcW w:type="pct" w:w="1200"/>
            <w:tcMar>
              <w:top w:type="dxa" w:w="70"/>
              <w:left w:type="dxa" w:w="100"/>
              <w:bottom w:type="dxa" w:w="70"/>
              <w:right w:type="dxa" w:w="100"/>
            </w:tcMar>
          </w:tcPr>
          <w:p>
            <w:pPr>
              <w:spacing w:line="264"/>
              <w:jc w:val="left"/>
            </w:pPr>
            <w:r>
              <w:rPr>
                <w:rFonts w:ascii="Times New Roman" w:eastAsia="SimSun"/>
                <w:b w:val="false"/>
                <w:bCs w:val="false"/>
                <w:color w:val="000000"/>
                <w:sz w:val="20"/>
                <w:szCs w:val="20"/>
              </w:rPr>
              <w:t xml:space="preserve">核心四路比较</w:t>
            </w:r>
          </w:p>
        </w:tc>
        <w:tc>
          <w:tcPr>
            <w:tcW w:type="pct" w:w="1700"/>
            <w:tcMar>
              <w:top w:type="dxa" w:w="70"/>
              <w:left w:type="dxa" w:w="100"/>
              <w:bottom w:type="dxa" w:w="70"/>
              <w:right w:type="dxa" w:w="100"/>
            </w:tcMar>
          </w:tcPr>
          <w:p>
            <w:pPr>
              <w:spacing w:line="264"/>
              <w:jc w:val="left"/>
            </w:pPr>
            <w:r>
              <w:rPr>
                <w:rFonts w:ascii="Times New Roman" w:eastAsia="SimSun"/>
                <w:b w:val="false"/>
                <w:bCs w:val="false"/>
                <w:color w:val="000000"/>
                <w:sz w:val="20"/>
                <w:szCs w:val="20"/>
              </w:rPr>
              <w:t xml:space="preserve">experiment.jsonl</w:t>
            </w:r>
          </w:p>
        </w:tc>
        <w:tc>
          <w:tcPr>
            <w:tcW w:type="pct" w:w="1000"/>
            <w:tcMar>
              <w:top w:type="dxa" w:w="70"/>
              <w:left w:type="dxa" w:w="100"/>
              <w:bottom w:type="dxa" w:w="70"/>
              <w:right w:type="dxa" w:w="100"/>
            </w:tcMar>
          </w:tcPr>
          <w:p>
            <w:pPr>
              <w:spacing w:line="264"/>
              <w:jc w:val="left"/>
            </w:pPr>
            <w:r>
              <w:rPr>
                <w:rFonts w:ascii="Times New Roman" w:eastAsia="SimSun"/>
                <w:b w:val="false"/>
                <w:bCs w:val="false"/>
                <w:color w:val="000000"/>
                <w:sz w:val="20"/>
                <w:szCs w:val="20"/>
              </w:rPr>
              <w:t xml:space="preserve">4 条件 x 10 种子</w:t>
            </w:r>
          </w:p>
        </w:tc>
        <w:tc>
          <w:tcPr>
            <w:tcW w:type="pct" w:w="1100"/>
            <w:tcMar>
              <w:top w:type="dxa" w:w="70"/>
              <w:left w:type="dxa" w:w="100"/>
              <w:bottom w:type="dxa" w:w="70"/>
              <w:right w:type="dxa" w:w="100"/>
            </w:tcMar>
          </w:tcPr>
          <w:p>
            <w:pPr>
              <w:spacing w:line="264"/>
              <w:jc w:val="left"/>
            </w:pPr>
            <w:r>
              <w:rPr>
                <w:rFonts w:ascii="Times New Roman" w:eastAsia="SimSun"/>
                <w:b w:val="false"/>
                <w:bCs w:val="false"/>
                <w:color w:val="000000"/>
                <w:sz w:val="20"/>
                <w:szCs w:val="20"/>
              </w:rPr>
              <w:t xml:space="preserve">预注册</w:t>
            </w:r>
          </w:p>
        </w:tc>
      </w:tr>
      <w:tr>
        <w:trPr>
          <w:cantSplit/>
        </w:trPr>
        <w:tc>
          <w:tcPr>
            <w:tcW w:type="pct" w:w="1200"/>
            <w:shd w:fill="F2F6F5" w:val="clear"/>
            <w:tcMar>
              <w:top w:type="dxa" w:w="70"/>
              <w:left w:type="dxa" w:w="100"/>
              <w:bottom w:type="dxa" w:w="70"/>
              <w:right w:type="dxa" w:w="100"/>
            </w:tcMar>
          </w:tcPr>
          <w:p>
            <w:pPr>
              <w:spacing w:line="264"/>
              <w:jc w:val="left"/>
            </w:pPr>
            <w:r>
              <w:rPr>
                <w:rFonts w:ascii="Times New Roman" w:eastAsia="SimSun"/>
                <w:b w:val="false"/>
                <w:bCs w:val="false"/>
                <w:color w:val="000000"/>
                <w:sz w:val="20"/>
                <w:szCs w:val="20"/>
              </w:rPr>
              <w:t xml:space="preserve">预算/规模/方向扩展</w:t>
            </w:r>
          </w:p>
        </w:tc>
        <w:tc>
          <w:tcPr>
            <w:tcW w:type="pct" w:w="1700"/>
            <w:shd w:fill="F2F6F5" w:val="clear"/>
            <w:tcMar>
              <w:top w:type="dxa" w:w="70"/>
              <w:left w:type="dxa" w:w="100"/>
              <w:bottom w:type="dxa" w:w="70"/>
              <w:right w:type="dxa" w:w="100"/>
            </w:tcMar>
          </w:tcPr>
          <w:p>
            <w:pPr>
              <w:spacing w:line="264"/>
              <w:jc w:val="left"/>
            </w:pPr>
            <w:r>
              <w:rPr>
                <w:rFonts w:ascii="Times New Roman" w:eastAsia="SimSun"/>
                <w:b w:val="false"/>
                <w:bCs w:val="false"/>
                <w:color w:val="000000"/>
                <w:sz w:val="20"/>
                <w:szCs w:val="20"/>
              </w:rPr>
              <w:t xml:space="preserve">v2/experiment_v2_*.jsonl（5 组）</w:t>
            </w:r>
          </w:p>
        </w:tc>
        <w:tc>
          <w:tcPr>
            <w:tcW w:type="pct" w:w="1000"/>
            <w:shd w:fill="F2F6F5" w:val="clear"/>
            <w:tcMar>
              <w:top w:type="dxa" w:w="70"/>
              <w:left w:type="dxa" w:w="100"/>
              <w:bottom w:type="dxa" w:w="70"/>
              <w:right w:type="dxa" w:w="100"/>
            </w:tcMar>
          </w:tcPr>
          <w:p>
            <w:pPr>
              <w:spacing w:line="264"/>
              <w:jc w:val="left"/>
            </w:pPr>
            <w:r>
              <w:rPr>
                <w:rFonts w:ascii="Times New Roman" w:eastAsia="SimSun"/>
                <w:b w:val="false"/>
                <w:bCs w:val="false"/>
                <w:color w:val="000000"/>
                <w:sz w:val="20"/>
                <w:szCs w:val="20"/>
              </w:rPr>
              <w:t xml:space="preserve">各 4 x 10</w:t>
            </w:r>
          </w:p>
        </w:tc>
        <w:tc>
          <w:tcPr>
            <w:tcW w:type="pct" w:w="1100"/>
            <w:shd w:fill="F2F6F5" w:val="clear"/>
            <w:tcMar>
              <w:top w:type="dxa" w:w="70"/>
              <w:left w:type="dxa" w:w="100"/>
              <w:bottom w:type="dxa" w:w="70"/>
              <w:right w:type="dxa" w:w="100"/>
            </w:tcMar>
          </w:tcPr>
          <w:p>
            <w:pPr>
              <w:spacing w:line="264"/>
              <w:jc w:val="left"/>
            </w:pPr>
            <w:r>
              <w:rPr>
                <w:rFonts w:ascii="Times New Roman" w:eastAsia="SimSun"/>
                <w:b w:val="false"/>
                <w:bCs w:val="false"/>
                <w:color w:val="000000"/>
                <w:sz w:val="20"/>
                <w:szCs w:val="20"/>
              </w:rPr>
              <w:t xml:space="preserve">事后（已声明）</w:t>
            </w:r>
          </w:p>
        </w:tc>
      </w:tr>
      <w:tr>
        <w:trPr>
          <w:cantSplit/>
        </w:trPr>
        <w:tc>
          <w:tcPr>
            <w:tcW w:type="pct" w:w="1200"/>
            <w:tcMar>
              <w:top w:type="dxa" w:w="70"/>
              <w:left w:type="dxa" w:w="100"/>
              <w:bottom w:type="dxa" w:w="70"/>
              <w:right w:type="dxa" w:w="100"/>
            </w:tcMar>
          </w:tcPr>
          <w:p>
            <w:pPr>
              <w:spacing w:line="264"/>
              <w:jc w:val="left"/>
            </w:pPr>
            <w:r>
              <w:rPr>
                <w:rFonts w:ascii="Times New Roman" w:eastAsia="SimSun"/>
                <w:b w:val="false"/>
                <w:bCs w:val="false"/>
                <w:color w:val="000000"/>
                <w:sz w:val="20"/>
                <w:szCs w:val="20"/>
              </w:rPr>
              <w:t xml:space="preserve">CIFAR-10 CNN 复制</w:t>
            </w:r>
          </w:p>
        </w:tc>
        <w:tc>
          <w:tcPr>
            <w:tcW w:type="pct" w:w="1700"/>
            <w:tcMar>
              <w:top w:type="dxa" w:w="70"/>
              <w:left w:type="dxa" w:w="100"/>
              <w:bottom w:type="dxa" w:w="70"/>
              <w:right w:type="dxa" w:w="100"/>
            </w:tcMar>
          </w:tcPr>
          <w:p>
            <w:pPr>
              <w:spacing w:line="264"/>
              <w:jc w:val="left"/>
            </w:pPr>
            <w:r>
              <w:rPr>
                <w:rFonts w:ascii="Times New Roman" w:eastAsia="SimSun"/>
                <w:b w:val="false"/>
                <w:bCs w:val="false"/>
                <w:color w:val="000000"/>
                <w:sz w:val="20"/>
                <w:szCs w:val="20"/>
              </w:rPr>
              <w:t xml:space="preserve">cifar/experiment_cifar_B60_k3.jsonl</w:t>
            </w:r>
          </w:p>
        </w:tc>
        <w:tc>
          <w:tcPr>
            <w:tcW w:type="pct" w:w="1000"/>
            <w:tcMar>
              <w:top w:type="dxa" w:w="70"/>
              <w:left w:type="dxa" w:w="100"/>
              <w:bottom w:type="dxa" w:w="70"/>
              <w:right w:type="dxa" w:w="100"/>
            </w:tcMar>
          </w:tcPr>
          <w:p>
            <w:pPr>
              <w:spacing w:line="264"/>
              <w:jc w:val="left"/>
            </w:pPr>
            <w:r>
              <w:rPr>
                <w:rFonts w:ascii="Times New Roman" w:eastAsia="SimSun"/>
                <w:b w:val="false"/>
                <w:bCs w:val="false"/>
                <w:color w:val="000000"/>
                <w:sz w:val="20"/>
                <w:szCs w:val="20"/>
              </w:rPr>
              <w:t xml:space="preserve">4 x 10</w:t>
            </w:r>
          </w:p>
        </w:tc>
        <w:tc>
          <w:tcPr>
            <w:tcW w:type="pct" w:w="1100"/>
            <w:tcMar>
              <w:top w:type="dxa" w:w="70"/>
              <w:left w:type="dxa" w:w="100"/>
              <w:bottom w:type="dxa" w:w="70"/>
              <w:right w:type="dxa" w:w="100"/>
            </w:tcMar>
          </w:tcPr>
          <w:p>
            <w:pPr>
              <w:spacing w:line="264"/>
              <w:jc w:val="left"/>
            </w:pPr>
            <w:r>
              <w:rPr>
                <w:rFonts w:ascii="Times New Roman" w:eastAsia="SimSun"/>
                <w:b w:val="false"/>
                <w:bCs w:val="false"/>
                <w:color w:val="000000"/>
                <w:sz w:val="20"/>
                <w:szCs w:val="20"/>
              </w:rPr>
              <w:t xml:space="preserve">事后（已声明）</w:t>
            </w:r>
          </w:p>
        </w:tc>
      </w:tr>
      <w:tr>
        <w:trPr>
          <w:cantSplit/>
        </w:trPr>
        <w:tc>
          <w:tcPr>
            <w:tcW w:type="pct" w:w="1200"/>
            <w:shd w:fill="F2F6F5" w:val="clear"/>
            <w:tcMar>
              <w:top w:type="dxa" w:w="70"/>
              <w:left w:type="dxa" w:w="100"/>
              <w:bottom w:type="dxa" w:w="70"/>
              <w:right w:type="dxa" w:w="100"/>
            </w:tcMar>
          </w:tcPr>
          <w:p>
            <w:pPr>
              <w:spacing w:line="264"/>
              <w:jc w:val="left"/>
            </w:pPr>
            <w:r>
              <w:rPr>
                <w:rFonts w:ascii="Times New Roman" w:eastAsia="SimSun"/>
                <w:b w:val="false"/>
                <w:bCs w:val="false"/>
                <w:color w:val="000000"/>
                <w:sz w:val="20"/>
                <w:szCs w:val="20"/>
              </w:rPr>
              <w:t xml:space="preserve">SWA-dense 变体</w:t>
            </w:r>
          </w:p>
        </w:tc>
        <w:tc>
          <w:tcPr>
            <w:tcW w:type="pct" w:w="1700"/>
            <w:shd w:fill="F2F6F5" w:val="clear"/>
            <w:tcMar>
              <w:top w:type="dxa" w:w="70"/>
              <w:left w:type="dxa" w:w="100"/>
              <w:bottom w:type="dxa" w:w="70"/>
              <w:right w:type="dxa" w:w="100"/>
            </w:tcMar>
          </w:tcPr>
          <w:p>
            <w:pPr>
              <w:spacing w:line="264"/>
              <w:jc w:val="left"/>
            </w:pPr>
            <w:r>
              <w:rPr>
                <w:rFonts w:ascii="Times New Roman" w:eastAsia="SimSun"/>
                <w:b w:val="false"/>
                <w:bCs w:val="false"/>
                <w:color w:val="000000"/>
                <w:sz w:val="20"/>
                <w:szCs w:val="20"/>
              </w:rPr>
              <w:t xml:space="preserve">experiment_swa_dense.jsonl</w:t>
            </w:r>
          </w:p>
        </w:tc>
        <w:tc>
          <w:tcPr>
            <w:tcW w:type="pct" w:w="1000"/>
            <w:shd w:fill="F2F6F5" w:val="clear"/>
            <w:tcMar>
              <w:top w:type="dxa" w:w="70"/>
              <w:left w:type="dxa" w:w="100"/>
              <w:bottom w:type="dxa" w:w="70"/>
              <w:right w:type="dxa" w:w="100"/>
            </w:tcMar>
          </w:tcPr>
          <w:p>
            <w:pPr>
              <w:spacing w:line="264"/>
              <w:jc w:val="left"/>
            </w:pPr>
            <w:r>
              <w:rPr>
                <w:rFonts w:ascii="Times New Roman" w:eastAsia="SimSun"/>
                <w:b w:val="false"/>
                <w:bCs w:val="false"/>
                <w:color w:val="000000"/>
                <w:sz w:val="20"/>
                <w:szCs w:val="20"/>
              </w:rPr>
              <w:t xml:space="preserve">补充条件</w:t>
            </w:r>
          </w:p>
        </w:tc>
        <w:tc>
          <w:tcPr>
            <w:tcW w:type="pct" w:w="1100"/>
            <w:shd w:fill="F2F6F5" w:val="clear"/>
            <w:tcMar>
              <w:top w:type="dxa" w:w="70"/>
              <w:left w:type="dxa" w:w="100"/>
              <w:bottom w:type="dxa" w:w="70"/>
              <w:right w:type="dxa" w:w="100"/>
            </w:tcMar>
          </w:tcPr>
          <w:p>
            <w:pPr>
              <w:spacing w:line="264"/>
              <w:jc w:val="left"/>
            </w:pPr>
            <w:r>
              <w:rPr>
                <w:rFonts w:ascii="Times New Roman" w:eastAsia="SimSun"/>
                <w:b w:val="false"/>
                <w:bCs w:val="false"/>
                <w:color w:val="000000"/>
                <w:sz w:val="20"/>
                <w:szCs w:val="20"/>
              </w:rPr>
              <w:t xml:space="preserve">探索性（已声明）</w:t>
            </w:r>
          </w:p>
        </w:tc>
      </w:tr>
      <w:tr>
        <w:trPr>
          <w:cantSplit/>
        </w:trPr>
        <w:tc>
          <w:tcPr>
            <w:tcW w:type="pct" w:w="1200"/>
            <w:tcMar>
              <w:top w:type="dxa" w:w="70"/>
              <w:left w:type="dxa" w:w="100"/>
              <w:bottom w:type="dxa" w:w="70"/>
              <w:right w:type="dxa" w:w="100"/>
            </w:tcMar>
          </w:tcPr>
          <w:p>
            <w:pPr>
              <w:spacing w:line="264"/>
              <w:jc w:val="left"/>
            </w:pPr>
            <w:r>
              <w:rPr>
                <w:rFonts w:ascii="Times New Roman" w:eastAsia="SimSun"/>
                <w:b w:val="false"/>
                <w:bCs w:val="false"/>
                <w:color w:val="000000"/>
                <w:sz w:val="20"/>
                <w:szCs w:val="20"/>
              </w:rPr>
              <w:t xml:space="preserve">温度缩放层</w:t>
            </w:r>
          </w:p>
        </w:tc>
        <w:tc>
          <w:tcPr>
            <w:tcW w:type="pct" w:w="1700"/>
            <w:tcMar>
              <w:top w:type="dxa" w:w="70"/>
              <w:left w:type="dxa" w:w="100"/>
              <w:bottom w:type="dxa" w:w="70"/>
              <w:right w:type="dxa" w:w="100"/>
            </w:tcMar>
          </w:tcPr>
          <w:p>
            <w:pPr>
              <w:spacing w:line="264"/>
              <w:jc w:val="left"/>
            </w:pPr>
            <w:r>
              <w:rPr>
                <w:rFonts w:ascii="Times New Roman" w:eastAsia="SimSun"/>
                <w:b w:val="false"/>
                <w:bCs w:val="false"/>
                <w:color w:val="000000"/>
                <w:sz w:val="20"/>
                <w:szCs w:val="20"/>
              </w:rPr>
              <w:t xml:space="preserve">各记录内 ts 字段</w:t>
            </w:r>
          </w:p>
        </w:tc>
        <w:tc>
          <w:tcPr>
            <w:tcW w:type="pct" w:w="1000"/>
            <w:tcMar>
              <w:top w:type="dxa" w:w="70"/>
              <w:left w:type="dxa" w:w="100"/>
              <w:bottom w:type="dxa" w:w="70"/>
              <w:right w:type="dxa" w:w="100"/>
            </w:tcMar>
          </w:tcPr>
          <w:p>
            <w:pPr>
              <w:spacing w:line="264"/>
              <w:jc w:val="left"/>
            </w:pPr>
            <w:r>
              <w:rPr>
                <w:rFonts w:ascii="Times New Roman" w:eastAsia="SimSun"/>
                <w:b w:val="false"/>
                <w:bCs w:val="false"/>
                <w:color w:val="000000"/>
                <w:sz w:val="20"/>
                <w:szCs w:val="20"/>
              </w:rPr>
              <w:t xml:space="preserve">每条件每种子</w:t>
            </w:r>
          </w:p>
        </w:tc>
        <w:tc>
          <w:tcPr>
            <w:tcW w:type="pct" w:w="1100"/>
            <w:tcMar>
              <w:top w:type="dxa" w:w="70"/>
              <w:left w:type="dxa" w:w="100"/>
              <w:bottom w:type="dxa" w:w="70"/>
              <w:right w:type="dxa" w:w="100"/>
            </w:tcMar>
          </w:tcPr>
          <w:p>
            <w:pPr>
              <w:spacing w:line="264"/>
              <w:jc w:val="left"/>
            </w:pPr>
            <w:r>
              <w:rPr>
                <w:rFonts w:ascii="Times New Roman" w:eastAsia="SimSun"/>
                <w:b w:val="false"/>
                <w:bCs w:val="false"/>
                <w:color w:val="000000"/>
                <w:sz w:val="20"/>
                <w:szCs w:val="20"/>
              </w:rPr>
              <w:t xml:space="preserve">事后（已声明）</w:t>
            </w:r>
          </w:p>
        </w:tc>
      </w:tr>
      <w:tr>
        <w:trPr>
          <w:cantSplit/>
        </w:trPr>
        <w:tc>
          <w:tcPr>
            <w:tcW w:type="pct" w:w="1200"/>
            <w:shd w:fill="F2F6F5" w:val="clear"/>
            <w:tcMar>
              <w:top w:type="dxa" w:w="70"/>
              <w:left w:type="dxa" w:w="100"/>
              <w:bottom w:type="dxa" w:w="70"/>
              <w:right w:type="dxa" w:w="100"/>
            </w:tcMar>
          </w:tcPr>
          <w:p>
            <w:pPr>
              <w:spacing w:line="264"/>
              <w:jc w:val="left"/>
            </w:pPr>
            <w:r>
              <w:rPr>
                <w:rFonts w:ascii="Times New Roman" w:eastAsia="SimSun"/>
                <w:b w:val="false"/>
                <w:bCs w:val="false"/>
                <w:color w:val="000000"/>
                <w:sz w:val="20"/>
                <w:szCs w:val="20"/>
              </w:rPr>
              <w:t xml:space="preserve">逐 epoch 训练历史</w:t>
            </w:r>
          </w:p>
        </w:tc>
        <w:tc>
          <w:tcPr>
            <w:tcW w:type="pct" w:w="1700"/>
            <w:shd w:fill="F2F6F5" w:val="clear"/>
            <w:tcMar>
              <w:top w:type="dxa" w:w="70"/>
              <w:left w:type="dxa" w:w="100"/>
              <w:bottom w:type="dxa" w:w="70"/>
              <w:right w:type="dxa" w:w="100"/>
            </w:tcMar>
          </w:tcPr>
          <w:p>
            <w:pPr>
              <w:spacing w:line="264"/>
              <w:jc w:val="left"/>
            </w:pPr>
            <w:r>
              <w:rPr>
                <w:rFonts w:ascii="Times New Roman" w:eastAsia="SimSun"/>
                <w:b w:val="false"/>
                <w:bCs w:val="false"/>
                <w:color w:val="000000"/>
                <w:sz w:val="20"/>
                <w:szCs w:val="20"/>
              </w:rPr>
              <w:t xml:space="preserve">各记录内 histories 字段</w:t>
            </w:r>
          </w:p>
        </w:tc>
        <w:tc>
          <w:tcPr>
            <w:tcW w:type="pct" w:w="1000"/>
            <w:shd w:fill="F2F6F5" w:val="clear"/>
            <w:tcMar>
              <w:top w:type="dxa" w:w="70"/>
              <w:left w:type="dxa" w:w="100"/>
              <w:bottom w:type="dxa" w:w="70"/>
              <w:right w:type="dxa" w:w="100"/>
            </w:tcMar>
          </w:tcPr>
          <w:p>
            <w:pPr>
              <w:spacing w:line="264"/>
              <w:jc w:val="left"/>
            </w:pPr>
            <w:r>
              <w:rPr>
                <w:rFonts w:ascii="Times New Roman" w:eastAsia="SimSun"/>
                <w:b w:val="false"/>
                <w:bCs w:val="false"/>
                <w:color w:val="000000"/>
                <w:sz w:val="20"/>
                <w:szCs w:val="20"/>
              </w:rPr>
              <w:t xml:space="preserve">单次/循环两条轨迹</w:t>
            </w:r>
          </w:p>
        </w:tc>
        <w:tc>
          <w:tcPr>
            <w:tcW w:type="pct" w:w="1100"/>
            <w:shd w:fill="F2F6F5" w:val="clear"/>
            <w:tcMar>
              <w:top w:type="dxa" w:w="70"/>
              <w:left w:type="dxa" w:w="100"/>
              <w:bottom w:type="dxa" w:w="70"/>
              <w:right w:type="dxa" w:w="100"/>
            </w:tcMar>
          </w:tcPr>
          <w:p>
            <w:pPr>
              <w:spacing w:line="264"/>
              <w:jc w:val="left"/>
            </w:pPr>
            <w:r>
              <w:rPr>
                <w:rFonts w:ascii="Times New Roman" w:eastAsia="SimSun"/>
                <w:b w:val="false"/>
                <w:bCs w:val="false"/>
                <w:color w:val="000000"/>
                <w:sz w:val="20"/>
                <w:szCs w:val="20"/>
              </w:rPr>
              <w:t xml:space="preserve">描述性</w:t>
            </w:r>
          </w:p>
        </w:tc>
      </w:tr>
    </w:tbl>
    <w:p>
      <w:pPr>
        <w:spacing w:after="160" w:before="60" w:line="280"/>
        <w:jc w:val="left"/>
      </w:pPr>
      <w:r>
        <w:rPr>
          <w:rFonts w:ascii="Times New Roman" w:eastAsia="SimSun"/>
          <w:color w:val="606060"/>
          <w:sz w:val="18"/>
          <w:szCs w:val="18"/>
        </w:rPr>
        <w:t xml:space="preserve">注：四种条件为 Single（1 x 60 epoch）、DeepEns（3 x 20）、Snapshot（1 x 60 循环，3 快照）、SWA（同快照权重平均）；快照与 SWA 共享同一条训练轨迹与检查点，集成与快照的第一成员位级一致（记录含 shared_member_bit_identical: true）。</w:t>
      </w:r>
    </w:p>
    <w:p>
      <w:pPr>
        <w:pStyle w:val="Heading2"/>
        <w:spacing w:after="120" w:before="260" w:line="350" w:lineRule="atLeast"/>
      </w:pPr>
      <w:bookmarkStart w:name="_Toc4" w:id="4"/>
      <w:r>
        <w:rPr>
          <w:rFonts w:ascii="Times New Roman" w:eastAsia="SimHei"/>
          <w:b/>
          <w:bCs/>
          <w:color w:val="0B1C2C"/>
          <w:sz w:val="28"/>
          <w:szCs w:val="28"/>
        </w:rPr>
        <w:t xml:space="preserve">1.2 由数据直接支持的结论</w:t>
      </w:r>
      <w:bookmarkEnd w:id="4"/>
    </w:p>
    <w:p>
      <w:pPr>
        <w:keepNext w:val="false"/>
        <w:spacing w:after="80" w:line="312"/>
        <w:ind w:firstLine="480"/>
        <w:jc w:val="both"/>
      </w:pPr>
      <w:r>
        <w:rPr>
          <w:rFonts w:ascii="Times New Roman" w:eastAsia="SimSun"/>
          <w:b w:val="false"/>
          <w:bCs w:val="false"/>
          <w:color w:val="000000"/>
          <w:sz w:val="24"/>
          <w:szCs w:val="24"/>
        </w:rPr>
        <w:t xml:space="preserve">以下结论的每一个数字本次审计均从原始 JSONL 重算或核对，而非转引自论文。核心设置（Fashion-MNIST，B=60，k=3）的均值排序为 NLL 0.302（DeepEns）、0.349（Snapshot）、0.387（SWA）、0.527（Single），ECE 同序（0.0236、0.0444、0.0517、0.0702）；预注册五对比族经 Holm 校正后主结局全部显著（P=0.0098，精确符号翻转置换检验的十种子下限为 0.0020）。今日复核补充确认了三点更强的事实：其一，DeepEns 在六个设置中的五个里是全部十个种子的最优条件（CIFAR 为 9/10，唯一例外是保留了成员坍塌种子的那次），排序并非均值假象；其二，四个 Fashion-MNIST 设置中逐种子成对方向完全一致（DE 优于 SN、SN 优于 SWA、SWA 优于 SG 各 10/10）；其三，MNIST 反向方向上 SWA 仅在 3/10 种子上优于 Single，与其均值近乎持平（0.0741 对 0.0724）一致，构成真实的边界条件而非噪声波动。</w:t>
      </w:r>
    </w:p>
    <w:p>
      <w:pPr>
        <w:keepNext w:val="false"/>
        <w:spacing w:after="80" w:line="312"/>
        <w:ind w:firstLine="480"/>
        <w:jc w:val="both"/>
      </w:pPr>
      <w:r>
        <w:rPr>
          <w:rFonts w:ascii="Times New Roman" w:eastAsia="SimSun"/>
          <w:b w:val="false"/>
          <w:bCs w:val="false"/>
          <w:color w:val="000000"/>
          <w:sz w:val="24"/>
          <w:szCs w:val="24"/>
        </w:rPr>
        <w:t xml:space="preserve">预算放大规律是数据中最有规律性的结构：DeepEns 对 Single 的 NLL 优势在 B=30、60、120 下分别为 +0.075、+0.225、+0.332（今日按种子重算，标准差 0.008 至 0.016），单调且近似超线性。机制侧的对应证据也已存在于记录中：单模型验证 NLL 在 Fashion-MNIST 上的最低点中位数出现在第 12 epoch（范围 7 至 14），此后持续恶化至 60 epoch 终点 0.476，而 MNIST 上最低点中位数为第 46 epoch——训练越久校准越差的余量与预算放大规律在同一数据中共同出现。OOD 检测方面，DeepEns 在全部 11 个设置-探针组合上正向（探针族内校正后 P 至多 0.032），SWA 效果小且方向不一（-0.016 至 +0.025）；逐条件温度缩放压缩但不关闭核心预算及以上的差距（0.289 对 0.333），在 B=30 处基本拉平各集成策略。CIFAR-10 上 DeepEns 对 Snapshot 的 ECE 优势方向一致但未获统计解析（差 -0.0418，95% CI [-0.0845, +0.0008]，未校正 P=0.082），异常种子（DeepEns ECE 约 0.210、NLL 约 0.929）按无排除规则保留并附诊断与留一敏感性分析。</w:t>
      </w:r>
    </w:p>
    <w:p>
      <w:pPr>
        <w:pStyle w:val="Heading2"/>
        <w:spacing w:after="120" w:before="260" w:line="350" w:lineRule="atLeast"/>
      </w:pPr>
      <w:bookmarkStart w:name="_Toc5" w:id="5"/>
      <w:r>
        <w:rPr>
          <w:rFonts w:ascii="Times New Roman" w:eastAsia="SimHei"/>
          <w:b/>
          <w:bCs/>
          <w:color w:val="0B1C2C"/>
          <w:sz w:val="28"/>
          <w:szCs w:val="28"/>
        </w:rPr>
        <w:t xml:space="preserve">1.3 仍属推测或解释性的部分</w:t>
      </w:r>
      <w:bookmarkEnd w:id="5"/>
    </w:p>
    <w:p>
      <w:pPr>
        <w:keepNext w:val="false"/>
        <w:spacing w:after="80" w:line="312"/>
        <w:ind w:firstLine="480"/>
        <w:jc w:val="both"/>
      </w:pPr>
      <w:r>
        <w:rPr>
          <w:rFonts w:ascii="Times New Roman" w:eastAsia="SimSun"/>
          <w:b w:val="false"/>
          <w:bCs w:val="false"/>
          <w:color w:val="000000"/>
          <w:sz w:val="24"/>
          <w:szCs w:val="24"/>
        </w:rPr>
        <w:t xml:space="preserve">论文将成员质量与成员多样性作为机制的解释，且已自我限定为关联性描述。本次审计专门检验了这一克制的措辞是否必要：在设置内部按种子计算集成增益与成员均值 NLL、成员分歧 JSD 的 Spearman 相关，六个设置的相关系数分别在 -0.77 至 +0.33 与 -0.73 至 +0.77 之间，方向不一致、幅度中等。也就是说，种子粒度上机制变量与增益没有稳定关系，跨设置层面的一致外观主要由设置难度混杂驱动。结论：论文保留关联性措辞的决定是正确的，该机制叙事不能在现有数据上升级为规律或因果陈述。类似地，校准余量边界条件（MNIST 上单轨迹策略无改进）有上述验证曲线证据支持，但余量导致优势这一因果方向仍是解释性假说。</w:t>
      </w:r>
    </w:p>
    <w:p>
      <w:pPr>
        <w:pStyle w:val="Heading2"/>
        <w:spacing w:after="120" w:before="260" w:line="350" w:lineRule="atLeast"/>
      </w:pPr>
      <w:bookmarkStart w:name="_Toc6" w:id="6"/>
      <w:r>
        <w:rPr>
          <w:rFonts w:ascii="Times New Roman" w:eastAsia="SimHei"/>
          <w:b/>
          <w:bCs/>
          <w:color w:val="0B1C2C"/>
          <w:sz w:val="28"/>
          <w:szCs w:val="28"/>
        </w:rPr>
        <w:t xml:space="preserve">1.4 需要额外实验才能支持的主张</w:t>
      </w:r>
      <w:bookmarkEnd w:id="6"/>
    </w:p>
    <w:p>
      <w:pPr>
        <w:keepNext w:val="false"/>
        <w:spacing w:after="80" w:line="312"/>
        <w:ind w:firstLine="480"/>
        <w:jc w:val="both"/>
      </w:pPr>
      <w:r>
        <w:rPr>
          <w:rFonts w:ascii="Times New Roman" w:eastAsia="SimSun"/>
          <w:b w:val="false"/>
          <w:bCs w:val="false"/>
          <w:color w:val="000000"/>
          <w:sz w:val="24"/>
          <w:szCs w:val="24"/>
        </w:rPr>
        <w:t xml:space="preserve">若要把论文从比较研究升级为规律性研究，现有数据存在三个明确的空位。其一，集成规模的作用：k=2 与 k=8 从未运行，k*(B) 最优分配规律无法从 k=3/5 两个点外推（现有 k=5 对 k=3 的增益差仅 0.005，且成员质量更好而多样性更低，两个机制方向相反，无法分解）。其二，推理成本维度的系统化：所有集成策略推理成本为 k 倍，论文有成本讨论但没有 NLL-推理成本的前沿刻画。其三，规模化：WRN 级架构与 CIFAR-100/ImageNet 级数据的验证缺失，这决定了结论的外推边界只能停留在小网络图像任务。前两项可用现有 CPU 管线低成本补齐，第三项需要 GPU 且对本文定位并非必需（见第六章）。</w:t>
      </w:r>
    </w:p>
    <w:p>
      <w:pPr>
        <w:pStyle w:val="Heading2"/>
        <w:spacing w:after="120" w:before="260" w:line="350" w:lineRule="atLeast"/>
      </w:pPr>
      <w:bookmarkStart w:name="_Toc7" w:id="7"/>
      <w:r>
        <w:rPr>
          <w:rFonts w:ascii="Times New Roman" w:eastAsia="SimHei"/>
          <w:b/>
          <w:bCs/>
          <w:color w:val="0B1C2C"/>
          <w:sz w:val="28"/>
          <w:szCs w:val="28"/>
        </w:rPr>
        <w:t xml:space="preserve">1.5 历史问题与修复链</w:t>
      </w:r>
      <w:bookmarkEnd w:id="7"/>
    </w:p>
    <w:p>
      <w:pPr>
        <w:keepNext w:val="false"/>
        <w:spacing w:after="80" w:line="312"/>
        <w:ind w:firstLine="480"/>
        <w:jc w:val="both"/>
      </w:pPr>
      <w:r>
        <w:rPr>
          <w:rFonts w:ascii="Times New Roman" w:eastAsia="SimSun"/>
          <w:b w:val="false"/>
          <w:bCs w:val="false"/>
          <w:color w:val="000000"/>
          <w:sz w:val="24"/>
          <w:szCs w:val="24"/>
        </w:rPr>
        <w:t xml:space="preserve">版本链上的问题均已在后续版本修复并留有记录：v1 的四处引用编号漂移（v2 修复）；v2 遗留的 Table 1 KMNIST 探针标准误行错误（v4.1.0 修复，与分析和图源数据三方核对）；v4.0.0 的三处过度主张（MNIST 反方向上四元排序稳健的表述、以邻接推断代替直接检验、定位段与自身相关工作矛盾）（v4.1.0 修复，含补做 DeepEns-SWA 直接对比 -0.0176，P=0.0020）。241 项历史数值独立核验的 9 项例外全部有书面处置（number-verification-v4.1.md）。本次审计未发现新的数据与正文不一致。需要说明的一处非科学问题：v4.1.2 在作者决定下移除了两段大语言模型使用声明（Springer 政策要求披露超出文字润色级别的使用），该决定已记录于清单 D5 供作者知悉；本报告在期刊策略章（第九章）按目标期刊政策再次标注此事项，因为它构成 TMLC 路线的实质审稿风险点。</w:t>
      </w:r>
    </w:p>
    <w:p>
      <w:pPr>
        <w:pStyle w:val="Heading1"/>
        <w:spacing w:after="160" w:before="360" w:line="380" w:lineRule="atLeast"/>
      </w:pPr>
      <w:bookmarkStart w:name="_Toc8" w:id="8"/>
      <w:r>
        <w:rPr>
          <w:rFonts w:ascii="Times New Roman" w:eastAsia="SimHei"/>
          <w:b/>
          <w:bCs/>
          <w:color w:val="0B1C2C"/>
          <w:sz w:val="32"/>
          <w:szCs w:val="32"/>
        </w:rPr>
        <w:t xml:space="preserve">第二章 原创性差距分析</w:t>
      </w:r>
      <w:bookmarkEnd w:id="8"/>
    </w:p>
    <w:p>
      <w:pPr>
        <w:pStyle w:val="Heading2"/>
        <w:spacing w:after="120" w:before="260" w:line="350" w:lineRule="atLeast"/>
      </w:pPr>
      <w:bookmarkStart w:name="_Toc9" w:id="9"/>
      <w:r>
        <w:rPr>
          <w:rFonts w:ascii="Times New Roman" w:eastAsia="SimHei"/>
          <w:b/>
          <w:bCs/>
          <w:color w:val="0B1C2C"/>
          <w:sz w:val="28"/>
          <w:szCs w:val="28"/>
        </w:rPr>
        <w:t xml:space="preserve">2.1 检索方法与范围</w:t>
      </w:r>
      <w:bookmarkEnd w:id="9"/>
    </w:p>
    <w:p>
      <w:pPr>
        <w:keepNext w:val="false"/>
        <w:spacing w:after="80" w:line="312"/>
        <w:ind w:firstLine="480"/>
        <w:jc w:val="both"/>
      </w:pPr>
      <w:r>
        <w:rPr>
          <w:rFonts w:ascii="Times New Roman" w:eastAsia="SimSun"/>
          <w:b w:val="false"/>
          <w:bCs w:val="false"/>
          <w:color w:val="000000"/>
          <w:sz w:val="24"/>
          <w:szCs w:val="24"/>
        </w:rPr>
        <w:t xml:space="preserve">本审计的文献核验分两层：仓库内 v4.1 定位审计（14 次检索、arXiv/OpenReview/出版商交叉验证，截至 2026-10-14，覆盖 28 篇引用文献的完整性）与本轮独立复检（2026-10-19，重点核查预算分配轴、快照集成校准先例、权重平均与预测平均的偏移端点、集成规模-训练时长权衡）。复检通过学术检索完成，并对最关键的三篇（Kondratyuk et al. 2020、The cost of ensembling 2025、TMLR 官方政策）读取原文摘要或官方页面确认。检索采用诚实规则：未找到仅报告为在所查渠道未找到。</w:t>
      </w:r>
    </w:p>
    <w:p>
      <w:pPr>
        <w:pStyle w:val="Heading2"/>
        <w:spacing w:after="120" w:before="260" w:line="350" w:lineRule="atLeast"/>
      </w:pPr>
      <w:bookmarkStart w:name="_Toc10" w:id="10"/>
      <w:r>
        <w:rPr>
          <w:rFonts w:ascii="Times New Roman" w:eastAsia="SimHei"/>
          <w:b/>
          <w:bCs/>
          <w:color w:val="0B1C2C"/>
          <w:sz w:val="28"/>
          <w:szCs w:val="28"/>
        </w:rPr>
        <w:t xml:space="preserve">2.2 最接近研究的逐项对照</w:t>
      </w:r>
      <w:bookmarkEnd w:id="10"/>
    </w:p>
    <w:p>
      <w:pPr>
        <w:keepNext w:val="false"/>
        <w:spacing w:after="80" w:line="312"/>
        <w:ind w:firstLine="480"/>
        <w:jc w:val="both"/>
      </w:pPr>
      <w:r>
        <w:rPr>
          <w:rFonts w:ascii="Times New Roman" w:eastAsia="SimSun"/>
          <w:b w:val="false"/>
          <w:bCs w:val="false"/>
          <w:color w:val="000000"/>
          <w:sz w:val="24"/>
          <w:szCs w:val="24"/>
        </w:rPr>
        <w:t xml:space="preserve">下表按用户指定的七列给出最接近的 14 项研究。判定原则：不把使用不同数据集或增加实验数量自动计为原创性；关注的是问题、端点与控制轴的实质差异。</w:t>
      </w:r>
    </w:p>
    <w:p>
      <w:pPr>
        <w:keepNext/>
        <w:spacing w:after="100" w:before="160" w:line="280"/>
        <w:jc w:val="center"/>
      </w:pPr>
      <w:r>
        <w:rPr>
          <w:rFonts w:ascii="Times New Roman" w:eastAsia="SimHei"/>
          <w:b/>
          <w:bCs/>
          <w:color w:val="404040"/>
          <w:sz w:val="21"/>
          <w:szCs w:val="21"/>
        </w:rPr>
        <w:t xml:space="preserve">表 2-1 最接近研究对照表（检索截至 2026-10-19）</w:t>
      </w:r>
    </w:p>
    <w:tbl>
      <w:tblPr>
        <w:tblW w:type="pct" w:w="5000"/>
        <w:tblBorders>
          <w:top w:val="single" w:color="529286" w:sz="6"/>
          <w:left w:val="none" w:color="FFFFFF" w:sz="0"/>
          <w:bottom w:val="single" w:color="529286" w:sz="6"/>
          <w:right w:val="none" w:color="FFFFFF" w:sz="0"/>
          <w:insideH w:val="single" w:color="C8D4D0" w:sz="2"/>
          <w:insideV w:val="none" w:color="FFFFFF" w:sz="0"/>
        </w:tblBorders>
      </w:tblPr>
      <w:tblGrid>
        <w:gridCol w:w="1406"/>
        <w:gridCol w:w="1318"/>
        <w:gridCol w:w="967"/>
        <w:gridCol w:w="967"/>
        <w:gridCol w:w="791"/>
        <w:gridCol w:w="791"/>
        <w:gridCol w:w="2549"/>
      </w:tblGrid>
      <w:tr>
        <w:trPr>
          <w:cantSplit/>
          <w:tblHeader/>
        </w:trPr>
        <w:tc>
          <w:tcPr>
            <w:tcW w:type="pct" w:w="800"/>
            <w:shd w:fill="529286" w:val="clear"/>
            <w:tcMar>
              <w:top w:type="dxa" w:w="70"/>
              <w:left w:type="dxa" w:w="100"/>
              <w:bottom w:type="dxa" w:w="70"/>
              <w:right w:type="dxa" w:w="100"/>
            </w:tcMar>
          </w:tcPr>
          <w:p>
            <w:pPr>
              <w:spacing w:line="260"/>
              <w:jc w:val="center"/>
            </w:pPr>
            <w:r>
              <w:rPr>
                <w:rFonts w:ascii="Times New Roman" w:eastAsia="SimHei"/>
                <w:b/>
                <w:bCs/>
                <w:color w:val="FFFFFF"/>
                <w:sz w:val="17"/>
                <w:szCs w:val="17"/>
              </w:rPr>
              <w:t xml:space="preserve">研究</w:t>
            </w:r>
          </w:p>
        </w:tc>
        <w:tc>
          <w:tcPr>
            <w:tcW w:type="pct" w:w="750"/>
            <w:shd w:fill="529286" w:val="clear"/>
            <w:tcMar>
              <w:top w:type="dxa" w:w="70"/>
              <w:left w:type="dxa" w:w="100"/>
              <w:bottom w:type="dxa" w:w="70"/>
              <w:right w:type="dxa" w:w="100"/>
            </w:tcMar>
          </w:tcPr>
          <w:p>
            <w:pPr>
              <w:spacing w:line="260"/>
              <w:jc w:val="center"/>
            </w:pPr>
            <w:r>
              <w:rPr>
                <w:rFonts w:ascii="Times New Roman" w:eastAsia="SimHei"/>
                <w:b/>
                <w:bCs/>
                <w:color w:val="FFFFFF"/>
                <w:sz w:val="17"/>
                <w:szCs w:val="17"/>
              </w:rPr>
              <w:t xml:space="preserve">核心问题</w:t>
            </w:r>
          </w:p>
        </w:tc>
        <w:tc>
          <w:tcPr>
            <w:tcW w:type="pct" w:w="550"/>
            <w:shd w:fill="529286" w:val="clear"/>
            <w:tcMar>
              <w:top w:type="dxa" w:w="70"/>
              <w:left w:type="dxa" w:w="100"/>
              <w:bottom w:type="dxa" w:w="70"/>
              <w:right w:type="dxa" w:w="100"/>
            </w:tcMar>
          </w:tcPr>
          <w:p>
            <w:pPr>
              <w:spacing w:line="260"/>
              <w:jc w:val="center"/>
            </w:pPr>
            <w:r>
              <w:rPr>
                <w:rFonts w:ascii="Times New Roman" w:eastAsia="SimHei"/>
                <w:b/>
                <w:bCs/>
                <w:color w:val="FFFFFF"/>
                <w:sz w:val="17"/>
                <w:szCs w:val="17"/>
              </w:rPr>
              <w:t xml:space="preserve">方法</w:t>
            </w:r>
          </w:p>
        </w:tc>
        <w:tc>
          <w:tcPr>
            <w:tcW w:type="pct" w:w="550"/>
            <w:shd w:fill="529286" w:val="clear"/>
            <w:tcMar>
              <w:top w:type="dxa" w:w="70"/>
              <w:left w:type="dxa" w:w="100"/>
              <w:bottom w:type="dxa" w:w="70"/>
              <w:right w:type="dxa" w:w="100"/>
            </w:tcMar>
          </w:tcPr>
          <w:p>
            <w:pPr>
              <w:spacing w:line="260"/>
              <w:jc w:val="center"/>
            </w:pPr>
            <w:r>
              <w:rPr>
                <w:rFonts w:ascii="Times New Roman" w:eastAsia="SimHei"/>
                <w:b/>
                <w:bCs/>
                <w:color w:val="FFFFFF"/>
                <w:sz w:val="17"/>
                <w:szCs w:val="17"/>
              </w:rPr>
              <w:t xml:space="preserve">预算控制</w:t>
            </w:r>
          </w:p>
        </w:tc>
        <w:tc>
          <w:tcPr>
            <w:tcW w:type="pct" w:w="450"/>
            <w:shd w:fill="529286" w:val="clear"/>
            <w:tcMar>
              <w:top w:type="dxa" w:w="70"/>
              <w:left w:type="dxa" w:w="100"/>
              <w:bottom w:type="dxa" w:w="70"/>
              <w:right w:type="dxa" w:w="100"/>
            </w:tcMar>
          </w:tcPr>
          <w:p>
            <w:pPr>
              <w:spacing w:line="260"/>
              <w:jc w:val="center"/>
            </w:pPr>
            <w:r>
              <w:rPr>
                <w:rFonts w:ascii="Times New Roman" w:eastAsia="SimHei"/>
                <w:b/>
                <w:bCs/>
                <w:color w:val="FFFFFF"/>
                <w:sz w:val="17"/>
                <w:szCs w:val="17"/>
              </w:rPr>
              <w:t xml:space="preserve">校准</w:t>
            </w:r>
          </w:p>
        </w:tc>
        <w:tc>
          <w:tcPr>
            <w:tcW w:type="pct" w:w="450"/>
            <w:shd w:fill="529286" w:val="clear"/>
            <w:tcMar>
              <w:top w:type="dxa" w:w="70"/>
              <w:left w:type="dxa" w:w="100"/>
              <w:bottom w:type="dxa" w:w="70"/>
              <w:right w:type="dxa" w:w="100"/>
            </w:tcMar>
          </w:tcPr>
          <w:p>
            <w:pPr>
              <w:spacing w:line="260"/>
              <w:jc w:val="center"/>
            </w:pPr>
            <w:r>
              <w:rPr>
                <w:rFonts w:ascii="Times New Roman" w:eastAsia="SimHei"/>
                <w:b/>
                <w:bCs/>
                <w:color w:val="FFFFFF"/>
                <w:sz w:val="17"/>
                <w:szCs w:val="17"/>
              </w:rPr>
              <w:t xml:space="preserve">OOD</w:t>
            </w:r>
          </w:p>
        </w:tc>
        <w:tc>
          <w:tcPr>
            <w:tcW w:type="pct" w:w="1450"/>
            <w:shd w:fill="529286" w:val="clear"/>
            <w:tcMar>
              <w:top w:type="dxa" w:w="70"/>
              <w:left w:type="dxa" w:w="100"/>
              <w:bottom w:type="dxa" w:w="70"/>
              <w:right w:type="dxa" w:w="100"/>
            </w:tcMar>
          </w:tcPr>
          <w:p>
            <w:pPr>
              <w:spacing w:line="260"/>
              <w:jc w:val="center"/>
            </w:pPr>
            <w:r>
              <w:rPr>
                <w:rFonts w:ascii="Times New Roman" w:eastAsia="SimHei"/>
                <w:b/>
                <w:bCs/>
                <w:color w:val="FFFFFF"/>
                <w:sz w:val="17"/>
                <w:szCs w:val="17"/>
              </w:rPr>
              <w:t xml:space="preserve">与本文的实质区别</w:t>
            </w:r>
          </w:p>
        </w:tc>
      </w:tr>
      <w:tr>
        <w:trPr>
          <w:cantSplit/>
        </w:trPr>
        <w:tc>
          <w:tcPr>
            <w:tcW w:type="pct" w:w="800"/>
            <w:tcMar>
              <w:top w:type="dxa" w:w="70"/>
              <w:left w:type="dxa" w:w="100"/>
              <w:bottom w:type="dxa" w:w="70"/>
              <w:right w:type="dxa" w:w="100"/>
            </w:tcMar>
          </w:tcPr>
          <w:p>
            <w:pPr>
              <w:spacing w:line="264"/>
              <w:jc w:val="left"/>
            </w:pPr>
            <w:r>
              <w:rPr>
                <w:rFonts w:ascii="Times New Roman" w:eastAsia="SimSun"/>
                <w:b w:val="false"/>
                <w:bCs w:val="false"/>
                <w:color w:val="000000"/>
                <w:sz w:val="17"/>
                <w:szCs w:val="17"/>
              </w:rPr>
              <w:t xml:space="preserve">Lakshminarayanan et al. 2017 (NeurIPS)</w:t>
            </w:r>
          </w:p>
        </w:tc>
        <w:tc>
          <w:tcPr>
            <w:tcW w:type="pct" w:w="750"/>
            <w:tcMar>
              <w:top w:type="dxa" w:w="70"/>
              <w:left w:type="dxa" w:w="100"/>
              <w:bottom w:type="dxa" w:w="70"/>
              <w:right w:type="dxa" w:w="100"/>
            </w:tcMar>
          </w:tcPr>
          <w:p>
            <w:pPr>
              <w:spacing w:line="264"/>
              <w:jc w:val="left"/>
            </w:pPr>
            <w:r>
              <w:rPr>
                <w:rFonts w:ascii="Times New Roman" w:eastAsia="SimSun"/>
                <w:b w:val="false"/>
                <w:bCs w:val="false"/>
                <w:color w:val="000000"/>
                <w:sz w:val="17"/>
                <w:szCs w:val="17"/>
              </w:rPr>
              <w:t xml:space="preserve">集成能否给出好的 UQ</w:t>
            </w:r>
          </w:p>
        </w:tc>
        <w:tc>
          <w:tcPr>
            <w:tcW w:type="pct" w:w="550"/>
            <w:tcMar>
              <w:top w:type="dxa" w:w="70"/>
              <w:left w:type="dxa" w:w="100"/>
              <w:bottom w:type="dxa" w:w="70"/>
              <w:right w:type="dxa" w:w="100"/>
            </w:tcMar>
          </w:tcPr>
          <w:p>
            <w:pPr>
              <w:spacing w:line="264"/>
              <w:jc w:val="left"/>
            </w:pPr>
            <w:r>
              <w:rPr>
                <w:rFonts w:ascii="Times New Roman" w:eastAsia="SimSun"/>
                <w:b w:val="false"/>
                <w:bCs w:val="false"/>
                <w:color w:val="000000"/>
                <w:sz w:val="17"/>
                <w:szCs w:val="17"/>
              </w:rPr>
              <w:t xml:space="preserve">DE vs MC dropout 等</w:t>
            </w:r>
          </w:p>
        </w:tc>
        <w:tc>
          <w:tcPr>
            <w:tcW w:type="pct" w:w="550"/>
            <w:tcMar>
              <w:top w:type="dxa" w:w="70"/>
              <w:left w:type="dxa" w:w="100"/>
              <w:bottom w:type="dxa" w:w="70"/>
              <w:right w:type="dxa" w:w="100"/>
            </w:tcMar>
          </w:tcPr>
          <w:p>
            <w:pPr>
              <w:spacing w:line="264"/>
              <w:jc w:val="left"/>
            </w:pPr>
            <w:r>
              <w:rPr>
                <w:rFonts w:ascii="Times New Roman" w:eastAsia="SimSun"/>
                <w:b w:val="false"/>
                <w:bCs w:val="false"/>
                <w:color w:val="000000"/>
                <w:sz w:val="17"/>
                <w:szCs w:val="17"/>
              </w:rPr>
              <w:t xml:space="preserve">无（计为附加成本）</w:t>
            </w:r>
          </w:p>
        </w:tc>
        <w:tc>
          <w:tcPr>
            <w:tcW w:type="pct" w:w="450"/>
            <w:tcMar>
              <w:top w:type="dxa" w:w="70"/>
              <w:left w:type="dxa" w:w="100"/>
              <w:bottom w:type="dxa" w:w="70"/>
              <w:right w:type="dxa" w:w="100"/>
            </w:tcMar>
          </w:tcPr>
          <w:p>
            <w:pPr>
              <w:spacing w:line="264"/>
              <w:jc w:val="left"/>
            </w:pPr>
            <w:r>
              <w:rPr>
                <w:rFonts w:ascii="Times New Roman" w:eastAsia="SimSun"/>
                <w:b w:val="false"/>
                <w:bCs w:val="false"/>
                <w:color w:val="000000"/>
                <w:sz w:val="17"/>
                <w:szCs w:val="17"/>
              </w:rPr>
              <w:t xml:space="preserve">NLL/Brier/ECE</w:t>
            </w:r>
          </w:p>
        </w:tc>
        <w:tc>
          <w:tcPr>
            <w:tcW w:type="pct" w:w="450"/>
            <w:tcMar>
              <w:top w:type="dxa" w:w="70"/>
              <w:left w:type="dxa" w:w="100"/>
              <w:bottom w:type="dxa" w:w="70"/>
              <w:right w:type="dxa" w:w="100"/>
            </w:tcMar>
          </w:tcPr>
          <w:p>
            <w:pPr>
              <w:spacing w:line="264"/>
              <w:jc w:val="left"/>
            </w:pPr>
            <w:r>
              <w:rPr>
                <w:rFonts w:ascii="Times New Roman" w:eastAsia="SimSun"/>
                <w:b w:val="false"/>
                <w:bCs w:val="false"/>
                <w:color w:val="000000"/>
                <w:sz w:val="17"/>
                <w:szCs w:val="17"/>
              </w:rPr>
              <w:t xml:space="preserve">少量</w:t>
            </w:r>
          </w:p>
        </w:tc>
        <w:tc>
          <w:tcPr>
            <w:tcW w:type="pct" w:w="1450"/>
            <w:tcMar>
              <w:top w:type="dxa" w:w="70"/>
              <w:left w:type="dxa" w:w="100"/>
              <w:bottom w:type="dxa" w:w="70"/>
              <w:right w:type="dxa" w:w="100"/>
            </w:tcMar>
          </w:tcPr>
          <w:p>
            <w:pPr>
              <w:spacing w:line="264"/>
              <w:jc w:val="left"/>
            </w:pPr>
            <w:r>
              <w:rPr>
                <w:rFonts w:ascii="Times New Roman" w:eastAsia="SimSun"/>
                <w:b w:val="false"/>
                <w:bCs w:val="false"/>
                <w:color w:val="000000"/>
                <w:sz w:val="17"/>
                <w:szCs w:val="17"/>
              </w:rPr>
              <w:t xml:space="preserve">确立 DE 强基线地位；预算不对齐，无快照/SWA</w:t>
            </w:r>
          </w:p>
        </w:tc>
      </w:tr>
      <w:tr>
        <w:trPr>
          <w:cantSplit/>
        </w:trPr>
        <w:tc>
          <w:tcPr>
            <w:tcW w:type="pct" w:w="800"/>
            <w:shd w:fill="F2F6F5" w:val="clear"/>
            <w:tcMar>
              <w:top w:type="dxa" w:w="70"/>
              <w:left w:type="dxa" w:w="100"/>
              <w:bottom w:type="dxa" w:w="70"/>
              <w:right w:type="dxa" w:w="100"/>
            </w:tcMar>
          </w:tcPr>
          <w:p>
            <w:pPr>
              <w:spacing w:line="264"/>
              <w:jc w:val="left"/>
            </w:pPr>
            <w:r>
              <w:rPr>
                <w:rFonts w:ascii="Times New Roman" w:eastAsia="SimSun"/>
                <w:b w:val="false"/>
                <w:bCs w:val="false"/>
                <w:color w:val="000000"/>
                <w:sz w:val="17"/>
                <w:szCs w:val="17"/>
              </w:rPr>
              <w:t xml:space="preserve">Huang et al. 2017 (ICLR)</w:t>
            </w:r>
          </w:p>
        </w:tc>
        <w:tc>
          <w:tcPr>
            <w:tcW w:type="pct" w:w="750"/>
            <w:shd w:fill="F2F6F5" w:val="clear"/>
            <w:tcMar>
              <w:top w:type="dxa" w:w="70"/>
              <w:left w:type="dxa" w:w="100"/>
              <w:bottom w:type="dxa" w:w="70"/>
              <w:right w:type="dxa" w:w="100"/>
            </w:tcMar>
          </w:tcPr>
          <w:p>
            <w:pPr>
              <w:spacing w:line="264"/>
              <w:jc w:val="left"/>
            </w:pPr>
            <w:r>
              <w:rPr>
                <w:rFonts w:ascii="Times New Roman" w:eastAsia="SimSun"/>
                <w:b w:val="false"/>
                <w:bCs w:val="false"/>
                <w:color w:val="000000"/>
                <w:sz w:val="17"/>
                <w:szCs w:val="17"/>
              </w:rPr>
              <w:t xml:space="preserve">循环 LR 免费集成</w:t>
            </w:r>
          </w:p>
        </w:tc>
        <w:tc>
          <w:tcPr>
            <w:tcW w:type="pct" w:w="550"/>
            <w:shd w:fill="F2F6F5" w:val="clear"/>
            <w:tcMar>
              <w:top w:type="dxa" w:w="70"/>
              <w:left w:type="dxa" w:w="100"/>
              <w:bottom w:type="dxa" w:w="70"/>
              <w:right w:type="dxa" w:w="100"/>
            </w:tcMar>
          </w:tcPr>
          <w:p>
            <w:pPr>
              <w:spacing w:line="264"/>
              <w:jc w:val="left"/>
            </w:pPr>
            <w:r>
              <w:rPr>
                <w:rFonts w:ascii="Times New Roman" w:eastAsia="SimSun"/>
                <w:b w:val="false"/>
                <w:bCs w:val="false"/>
                <w:color w:val="000000"/>
                <w:sz w:val="17"/>
                <w:szCs w:val="17"/>
              </w:rPr>
              <w:t xml:space="preserve">Snapshot</w:t>
            </w:r>
          </w:p>
        </w:tc>
        <w:tc>
          <w:tcPr>
            <w:tcW w:type="pct" w:w="550"/>
            <w:shd w:fill="F2F6F5" w:val="clear"/>
            <w:tcMar>
              <w:top w:type="dxa" w:w="70"/>
              <w:left w:type="dxa" w:w="100"/>
              <w:bottom w:type="dxa" w:w="70"/>
              <w:right w:type="dxa" w:w="100"/>
            </w:tcMar>
          </w:tcPr>
          <w:p>
            <w:pPr>
              <w:spacing w:line="264"/>
              <w:jc w:val="left"/>
            </w:pPr>
            <w:r>
              <w:rPr>
                <w:rFonts w:ascii="Times New Roman" w:eastAsia="SimSun"/>
                <w:b w:val="false"/>
                <w:bCs w:val="false"/>
                <w:color w:val="000000"/>
                <w:sz w:val="17"/>
                <w:szCs w:val="17"/>
              </w:rPr>
              <w:t xml:space="preserve">无（单次训练内）</w:t>
            </w:r>
          </w:p>
        </w:tc>
        <w:tc>
          <w:tcPr>
            <w:tcW w:type="pct" w:w="450"/>
            <w:shd w:fill="F2F6F5" w:val="clear"/>
            <w:tcMar>
              <w:top w:type="dxa" w:w="70"/>
              <w:left w:type="dxa" w:w="100"/>
              <w:bottom w:type="dxa" w:w="70"/>
              <w:right w:type="dxa" w:w="100"/>
            </w:tcMar>
          </w:tcPr>
          <w:p>
            <w:pPr>
              <w:spacing w:line="264"/>
              <w:jc w:val="left"/>
            </w:pPr>
            <w:r>
              <w:rPr>
                <w:rFonts w:ascii="Times New Roman" w:eastAsia="SimSun"/>
                <w:b w:val="false"/>
                <w:bCs w:val="false"/>
                <w:color w:val="000000"/>
                <w:sz w:val="17"/>
                <w:szCs w:val="17"/>
              </w:rPr>
              <w:t xml:space="preserve">无（精度）</w:t>
            </w:r>
          </w:p>
        </w:tc>
        <w:tc>
          <w:tcPr>
            <w:tcW w:type="pct" w:w="450"/>
            <w:shd w:fill="F2F6F5" w:val="clear"/>
            <w:tcMar>
              <w:top w:type="dxa" w:w="70"/>
              <w:left w:type="dxa" w:w="100"/>
              <w:bottom w:type="dxa" w:w="70"/>
              <w:right w:type="dxa" w:w="100"/>
            </w:tcMar>
          </w:tcPr>
          <w:p>
            <w:pPr>
              <w:spacing w:line="264"/>
              <w:jc w:val="left"/>
            </w:pPr>
            <w:r>
              <w:rPr>
                <w:rFonts w:ascii="Times New Roman" w:eastAsia="SimSun"/>
                <w:b w:val="false"/>
                <w:bCs w:val="false"/>
                <w:color w:val="000000"/>
                <w:sz w:val="17"/>
                <w:szCs w:val="17"/>
              </w:rPr>
              <w:t xml:space="preserve">无</w:t>
            </w:r>
          </w:p>
        </w:tc>
        <w:tc>
          <w:tcPr>
            <w:tcW w:type="pct" w:w="1450"/>
            <w:shd w:fill="F2F6F5" w:val="clear"/>
            <w:tcMar>
              <w:top w:type="dxa" w:w="70"/>
              <w:left w:type="dxa" w:w="100"/>
              <w:bottom w:type="dxa" w:w="70"/>
              <w:right w:type="dxa" w:w="100"/>
            </w:tcMar>
          </w:tcPr>
          <w:p>
            <w:pPr>
              <w:spacing w:line="264"/>
              <w:jc w:val="left"/>
            </w:pPr>
            <w:r>
              <w:rPr>
                <w:rFonts w:ascii="Times New Roman" w:eastAsia="SimSun"/>
                <w:b w:val="false"/>
                <w:bCs w:val="false"/>
                <w:color w:val="000000"/>
                <w:sz w:val="17"/>
                <w:szCs w:val="17"/>
              </w:rPr>
              <w:t xml:space="preserve">免费午餐主张限于精度轴；本文给出校准轴反例</w:t>
            </w:r>
          </w:p>
        </w:tc>
      </w:tr>
      <w:tr>
        <w:trPr>
          <w:cantSplit/>
        </w:trPr>
        <w:tc>
          <w:tcPr>
            <w:tcW w:type="pct" w:w="800"/>
            <w:tcMar>
              <w:top w:type="dxa" w:w="70"/>
              <w:left w:type="dxa" w:w="100"/>
              <w:bottom w:type="dxa" w:w="70"/>
              <w:right w:type="dxa" w:w="100"/>
            </w:tcMar>
          </w:tcPr>
          <w:p>
            <w:pPr>
              <w:spacing w:line="264"/>
              <w:jc w:val="left"/>
            </w:pPr>
            <w:r>
              <w:rPr>
                <w:rFonts w:ascii="Times New Roman" w:eastAsia="SimSun"/>
                <w:b w:val="false"/>
                <w:bCs w:val="false"/>
                <w:color w:val="000000"/>
                <w:sz w:val="17"/>
                <w:szCs w:val="17"/>
              </w:rPr>
              <w:t xml:space="preserve">Izmailov et al. 2018 (UAI)</w:t>
            </w:r>
          </w:p>
        </w:tc>
        <w:tc>
          <w:tcPr>
            <w:tcW w:type="pct" w:w="750"/>
            <w:tcMar>
              <w:top w:type="dxa" w:w="70"/>
              <w:left w:type="dxa" w:w="100"/>
              <w:bottom w:type="dxa" w:w="70"/>
              <w:right w:type="dxa" w:w="100"/>
            </w:tcMar>
          </w:tcPr>
          <w:p>
            <w:pPr>
              <w:spacing w:line="264"/>
              <w:jc w:val="left"/>
            </w:pPr>
            <w:r>
              <w:rPr>
                <w:rFonts w:ascii="Times New Roman" w:eastAsia="SimSun"/>
                <w:b w:val="false"/>
                <w:bCs w:val="false"/>
                <w:color w:val="000000"/>
                <w:sz w:val="17"/>
                <w:szCs w:val="17"/>
              </w:rPr>
              <w:t xml:space="preserve">权重平均找平坦极小值</w:t>
            </w:r>
          </w:p>
        </w:tc>
        <w:tc>
          <w:tcPr>
            <w:tcW w:type="pct" w:w="550"/>
            <w:tcMar>
              <w:top w:type="dxa" w:w="70"/>
              <w:left w:type="dxa" w:w="100"/>
              <w:bottom w:type="dxa" w:w="70"/>
              <w:right w:type="dxa" w:w="100"/>
            </w:tcMar>
          </w:tcPr>
          <w:p>
            <w:pPr>
              <w:spacing w:line="264"/>
              <w:jc w:val="left"/>
            </w:pPr>
            <w:r>
              <w:rPr>
                <w:rFonts w:ascii="Times New Roman" w:eastAsia="SimSun"/>
                <w:b w:val="false"/>
                <w:bCs w:val="false"/>
                <w:color w:val="000000"/>
                <w:sz w:val="17"/>
                <w:szCs w:val="17"/>
              </w:rPr>
              <w:t xml:space="preserve">SWA</w:t>
            </w:r>
          </w:p>
        </w:tc>
        <w:tc>
          <w:tcPr>
            <w:tcW w:type="pct" w:w="550"/>
            <w:tcMar>
              <w:top w:type="dxa" w:w="70"/>
              <w:left w:type="dxa" w:w="100"/>
              <w:bottom w:type="dxa" w:w="70"/>
              <w:right w:type="dxa" w:w="100"/>
            </w:tcMar>
          </w:tcPr>
          <w:p>
            <w:pPr>
              <w:spacing w:line="264"/>
              <w:jc w:val="left"/>
            </w:pPr>
            <w:r>
              <w:rPr>
                <w:rFonts w:ascii="Times New Roman" w:eastAsia="SimSun"/>
                <w:b w:val="false"/>
                <w:bCs w:val="false"/>
                <w:color w:val="000000"/>
                <w:sz w:val="17"/>
                <w:szCs w:val="17"/>
              </w:rPr>
              <w:t xml:space="preserve">无</w:t>
            </w:r>
          </w:p>
        </w:tc>
        <w:tc>
          <w:tcPr>
            <w:tcW w:type="pct" w:w="450"/>
            <w:tcMar>
              <w:top w:type="dxa" w:w="70"/>
              <w:left w:type="dxa" w:w="100"/>
              <w:bottom w:type="dxa" w:w="70"/>
              <w:right w:type="dxa" w:w="100"/>
            </w:tcMar>
          </w:tcPr>
          <w:p>
            <w:pPr>
              <w:spacing w:line="264"/>
              <w:jc w:val="left"/>
            </w:pPr>
            <w:r>
              <w:rPr>
                <w:rFonts w:ascii="Times New Roman" w:eastAsia="SimSun"/>
                <w:b w:val="false"/>
                <w:bCs w:val="false"/>
                <w:color w:val="000000"/>
                <w:sz w:val="17"/>
                <w:szCs w:val="17"/>
              </w:rPr>
              <w:t xml:space="preserve">NLL 部分</w:t>
            </w:r>
          </w:p>
        </w:tc>
        <w:tc>
          <w:tcPr>
            <w:tcW w:type="pct" w:w="450"/>
            <w:tcMar>
              <w:top w:type="dxa" w:w="70"/>
              <w:left w:type="dxa" w:w="100"/>
              <w:bottom w:type="dxa" w:w="70"/>
              <w:right w:type="dxa" w:w="100"/>
            </w:tcMar>
          </w:tcPr>
          <w:p>
            <w:pPr>
              <w:spacing w:line="264"/>
              <w:jc w:val="left"/>
            </w:pPr>
            <w:r>
              <w:rPr>
                <w:rFonts w:ascii="Times New Roman" w:eastAsia="SimSun"/>
                <w:b w:val="false"/>
                <w:bCs w:val="false"/>
                <w:color w:val="000000"/>
                <w:sz w:val="17"/>
                <w:szCs w:val="17"/>
              </w:rPr>
              <w:t xml:space="preserve">无</w:t>
            </w:r>
          </w:p>
        </w:tc>
        <w:tc>
          <w:tcPr>
            <w:tcW w:type="pct" w:w="1450"/>
            <w:tcMar>
              <w:top w:type="dxa" w:w="70"/>
              <w:left w:type="dxa" w:w="100"/>
              <w:bottom w:type="dxa" w:w="70"/>
              <w:right w:type="dxa" w:w="100"/>
            </w:tcMar>
          </w:tcPr>
          <w:p>
            <w:pPr>
              <w:spacing w:line="264"/>
              <w:jc w:val="left"/>
            </w:pPr>
            <w:r>
              <w:rPr>
                <w:rFonts w:ascii="Times New Roman" w:eastAsia="SimSun"/>
                <w:b w:val="false"/>
                <w:bCs w:val="false"/>
                <w:color w:val="000000"/>
                <w:sz w:val="17"/>
                <w:szCs w:val="17"/>
              </w:rPr>
              <w:t xml:space="preserve">SWA 来源；非检查点配对对比</w:t>
            </w:r>
          </w:p>
        </w:tc>
      </w:tr>
      <w:tr>
        <w:trPr>
          <w:cantSplit/>
        </w:trPr>
        <w:tc>
          <w:tcPr>
            <w:tcW w:type="pct" w:w="800"/>
            <w:shd w:fill="F2F6F5" w:val="clear"/>
            <w:tcMar>
              <w:top w:type="dxa" w:w="70"/>
              <w:left w:type="dxa" w:w="100"/>
              <w:bottom w:type="dxa" w:w="70"/>
              <w:right w:type="dxa" w:w="100"/>
            </w:tcMar>
          </w:tcPr>
          <w:p>
            <w:pPr>
              <w:spacing w:line="264"/>
              <w:jc w:val="left"/>
            </w:pPr>
            <w:r>
              <w:rPr>
                <w:rFonts w:ascii="Times New Roman" w:eastAsia="SimSun"/>
                <w:b w:val="false"/>
                <w:bCs w:val="false"/>
                <w:color w:val="000000"/>
                <w:sz w:val="17"/>
                <w:szCs w:val="17"/>
              </w:rPr>
              <w:t xml:space="preserve">Fort et al. 2019 (NeurIPS)</w:t>
            </w:r>
          </w:p>
        </w:tc>
        <w:tc>
          <w:tcPr>
            <w:tcW w:type="pct" w:w="750"/>
            <w:shd w:fill="F2F6F5" w:val="clear"/>
            <w:tcMar>
              <w:top w:type="dxa" w:w="70"/>
              <w:left w:type="dxa" w:w="100"/>
              <w:bottom w:type="dxa" w:w="70"/>
              <w:right w:type="dxa" w:w="100"/>
            </w:tcMar>
          </w:tcPr>
          <w:p>
            <w:pPr>
              <w:spacing w:line="264"/>
              <w:jc w:val="left"/>
            </w:pPr>
            <w:r>
              <w:rPr>
                <w:rFonts w:ascii="Times New Roman" w:eastAsia="SimSun"/>
                <w:b w:val="false"/>
                <w:bCs w:val="false"/>
                <w:color w:val="000000"/>
                <w:sz w:val="17"/>
                <w:szCs w:val="17"/>
              </w:rPr>
              <w:t xml:space="preserve">随机初始化为何有效</w:t>
            </w:r>
          </w:p>
        </w:tc>
        <w:tc>
          <w:tcPr>
            <w:tcW w:type="pct" w:w="550"/>
            <w:shd w:fill="F2F6F5" w:val="clear"/>
            <w:tcMar>
              <w:top w:type="dxa" w:w="70"/>
              <w:left w:type="dxa" w:w="100"/>
              <w:bottom w:type="dxa" w:w="70"/>
              <w:right w:type="dxa" w:w="100"/>
            </w:tcMar>
          </w:tcPr>
          <w:p>
            <w:pPr>
              <w:spacing w:line="264"/>
              <w:jc w:val="left"/>
            </w:pPr>
            <w:r>
              <w:rPr>
                <w:rFonts w:ascii="Times New Roman" w:eastAsia="SimSun"/>
                <w:b w:val="false"/>
                <w:bCs w:val="false"/>
                <w:color w:val="000000"/>
                <w:sz w:val="17"/>
                <w:szCs w:val="17"/>
              </w:rPr>
              <w:t xml:space="preserve">DE 及变体</w:t>
            </w:r>
          </w:p>
        </w:tc>
        <w:tc>
          <w:tcPr>
            <w:tcW w:type="pct" w:w="550"/>
            <w:shd w:fill="F2F6F5" w:val="clear"/>
            <w:tcMar>
              <w:top w:type="dxa" w:w="70"/>
              <w:left w:type="dxa" w:w="100"/>
              <w:bottom w:type="dxa" w:w="70"/>
              <w:right w:type="dxa" w:w="100"/>
            </w:tcMar>
          </w:tcPr>
          <w:p>
            <w:pPr>
              <w:spacing w:line="264"/>
              <w:jc w:val="left"/>
            </w:pPr>
            <w:r>
              <w:rPr>
                <w:rFonts w:ascii="Times New Roman" w:eastAsia="SimSun"/>
                <w:b w:val="false"/>
                <w:bCs w:val="false"/>
                <w:color w:val="000000"/>
                <w:sz w:val="17"/>
                <w:szCs w:val="17"/>
              </w:rPr>
              <w:t xml:space="preserve">无</w:t>
            </w:r>
          </w:p>
        </w:tc>
        <w:tc>
          <w:tcPr>
            <w:tcW w:type="pct" w:w="450"/>
            <w:shd w:fill="F2F6F5" w:val="clear"/>
            <w:tcMar>
              <w:top w:type="dxa" w:w="70"/>
              <w:left w:type="dxa" w:w="100"/>
              <w:bottom w:type="dxa" w:w="70"/>
              <w:right w:type="dxa" w:w="100"/>
            </w:tcMar>
          </w:tcPr>
          <w:p>
            <w:pPr>
              <w:spacing w:line="264"/>
              <w:jc w:val="left"/>
            </w:pPr>
            <w:r>
              <w:rPr>
                <w:rFonts w:ascii="Times New Roman" w:eastAsia="SimSun"/>
                <w:b w:val="false"/>
                <w:bCs w:val="false"/>
                <w:color w:val="000000"/>
                <w:sz w:val="17"/>
                <w:szCs w:val="17"/>
              </w:rPr>
              <w:t xml:space="preserve">部分</w:t>
            </w:r>
          </w:p>
        </w:tc>
        <w:tc>
          <w:tcPr>
            <w:tcW w:type="pct" w:w="450"/>
            <w:shd w:fill="F2F6F5" w:val="clear"/>
            <w:tcMar>
              <w:top w:type="dxa" w:w="70"/>
              <w:left w:type="dxa" w:w="100"/>
              <w:bottom w:type="dxa" w:w="70"/>
              <w:right w:type="dxa" w:w="100"/>
            </w:tcMar>
          </w:tcPr>
          <w:p>
            <w:pPr>
              <w:spacing w:line="264"/>
              <w:jc w:val="left"/>
            </w:pPr>
            <w:r>
              <w:rPr>
                <w:rFonts w:ascii="Times New Roman" w:eastAsia="SimSun"/>
                <w:b w:val="false"/>
                <w:bCs w:val="false"/>
                <w:color w:val="000000"/>
                <w:sz w:val="17"/>
                <w:szCs w:val="17"/>
              </w:rPr>
              <w:t xml:space="preserve">无</w:t>
            </w:r>
          </w:p>
        </w:tc>
        <w:tc>
          <w:tcPr>
            <w:tcW w:type="pct" w:w="1450"/>
            <w:shd w:fill="F2F6F5" w:val="clear"/>
            <w:tcMar>
              <w:top w:type="dxa" w:w="70"/>
              <w:left w:type="dxa" w:w="100"/>
              <w:bottom w:type="dxa" w:w="70"/>
              <w:right w:type="dxa" w:w="100"/>
            </w:tcMar>
          </w:tcPr>
          <w:p>
            <w:pPr>
              <w:spacing w:line="264"/>
              <w:jc w:val="left"/>
            </w:pPr>
            <w:r>
              <w:rPr>
                <w:rFonts w:ascii="Times New Roman" w:eastAsia="SimSun"/>
                <w:b w:val="false"/>
                <w:bCs w:val="false"/>
                <w:color w:val="000000"/>
                <w:sz w:val="17"/>
                <w:szCs w:val="17"/>
              </w:rPr>
              <w:t xml:space="preserve">机制背景；无预算轴</w:t>
            </w:r>
          </w:p>
        </w:tc>
      </w:tr>
      <w:tr>
        <w:trPr>
          <w:cantSplit/>
        </w:trPr>
        <w:tc>
          <w:tcPr>
            <w:tcW w:type="pct" w:w="800"/>
            <w:tcMar>
              <w:top w:type="dxa" w:w="70"/>
              <w:left w:type="dxa" w:w="100"/>
              <w:bottom w:type="dxa" w:w="70"/>
              <w:right w:type="dxa" w:w="100"/>
            </w:tcMar>
          </w:tcPr>
          <w:p>
            <w:pPr>
              <w:spacing w:line="264"/>
              <w:jc w:val="left"/>
            </w:pPr>
            <w:r>
              <w:rPr>
                <w:rFonts w:ascii="Times New Roman" w:eastAsia="SimSun"/>
                <w:b w:val="false"/>
                <w:bCs w:val="false"/>
                <w:color w:val="000000"/>
                <w:sz w:val="17"/>
                <w:szCs w:val="17"/>
              </w:rPr>
              <w:t xml:space="preserve">Ovadia et al. 2019 (NeurIPS)</w:t>
            </w:r>
          </w:p>
        </w:tc>
        <w:tc>
          <w:tcPr>
            <w:tcW w:type="pct" w:w="750"/>
            <w:tcMar>
              <w:top w:type="dxa" w:w="70"/>
              <w:left w:type="dxa" w:w="100"/>
              <w:bottom w:type="dxa" w:w="70"/>
              <w:right w:type="dxa" w:w="100"/>
            </w:tcMar>
          </w:tcPr>
          <w:p>
            <w:pPr>
              <w:spacing w:line="264"/>
              <w:jc w:val="left"/>
            </w:pPr>
            <w:r>
              <w:rPr>
                <w:rFonts w:ascii="Times New Roman" w:eastAsia="SimSun"/>
                <w:b w:val="false"/>
                <w:bCs w:val="false"/>
                <w:color w:val="000000"/>
                <w:sz w:val="17"/>
                <w:szCs w:val="17"/>
              </w:rPr>
              <w:t xml:space="preserve">偏移下 UQ 基准</w:t>
            </w:r>
          </w:p>
        </w:tc>
        <w:tc>
          <w:tcPr>
            <w:tcW w:type="pct" w:w="550"/>
            <w:tcMar>
              <w:top w:type="dxa" w:w="70"/>
              <w:left w:type="dxa" w:w="100"/>
              <w:bottom w:type="dxa" w:w="70"/>
              <w:right w:type="dxa" w:w="100"/>
            </w:tcMar>
          </w:tcPr>
          <w:p>
            <w:pPr>
              <w:spacing w:line="264"/>
              <w:jc w:val="left"/>
            </w:pPr>
            <w:r>
              <w:rPr>
                <w:rFonts w:ascii="Times New Roman" w:eastAsia="SimSun"/>
                <w:b w:val="false"/>
                <w:bCs w:val="false"/>
                <w:color w:val="000000"/>
                <w:sz w:val="17"/>
                <w:szCs w:val="17"/>
              </w:rPr>
              <w:t xml:space="preserve">多方法大基准</w:t>
            </w:r>
          </w:p>
        </w:tc>
        <w:tc>
          <w:tcPr>
            <w:tcW w:type="pct" w:w="550"/>
            <w:tcMar>
              <w:top w:type="dxa" w:w="70"/>
              <w:left w:type="dxa" w:w="100"/>
              <w:bottom w:type="dxa" w:w="70"/>
              <w:right w:type="dxa" w:w="100"/>
            </w:tcMar>
          </w:tcPr>
          <w:p>
            <w:pPr>
              <w:spacing w:line="264"/>
              <w:jc w:val="left"/>
            </w:pPr>
            <w:r>
              <w:rPr>
                <w:rFonts w:ascii="Times New Roman" w:eastAsia="SimSun"/>
                <w:b w:val="false"/>
                <w:bCs w:val="false"/>
                <w:color w:val="000000"/>
                <w:sz w:val="17"/>
                <w:szCs w:val="17"/>
              </w:rPr>
              <w:t xml:space="preserve">各方法各异</w:t>
            </w:r>
          </w:p>
        </w:tc>
        <w:tc>
          <w:tcPr>
            <w:tcW w:type="pct" w:w="450"/>
            <w:tcMar>
              <w:top w:type="dxa" w:w="70"/>
              <w:left w:type="dxa" w:w="100"/>
              <w:bottom w:type="dxa" w:w="70"/>
              <w:right w:type="dxa" w:w="100"/>
            </w:tcMar>
          </w:tcPr>
          <w:p>
            <w:pPr>
              <w:spacing w:line="264"/>
              <w:jc w:val="left"/>
            </w:pPr>
            <w:r>
              <w:rPr>
                <w:rFonts w:ascii="Times New Roman" w:eastAsia="SimSun"/>
                <w:b w:val="false"/>
                <w:bCs w:val="false"/>
                <w:color w:val="000000"/>
                <w:sz w:val="17"/>
                <w:szCs w:val="17"/>
              </w:rPr>
              <w:t xml:space="preserve">ECE/NLL</w:t>
            </w:r>
          </w:p>
        </w:tc>
        <w:tc>
          <w:tcPr>
            <w:tcW w:type="pct" w:w="450"/>
            <w:tcMar>
              <w:top w:type="dxa" w:w="70"/>
              <w:left w:type="dxa" w:w="100"/>
              <w:bottom w:type="dxa" w:w="70"/>
              <w:right w:type="dxa" w:w="100"/>
            </w:tcMar>
          </w:tcPr>
          <w:p>
            <w:pPr>
              <w:spacing w:line="264"/>
              <w:jc w:val="left"/>
            </w:pPr>
            <w:r>
              <w:rPr>
                <w:rFonts w:ascii="Times New Roman" w:eastAsia="SimSun"/>
                <w:b w:val="false"/>
                <w:bCs w:val="false"/>
                <w:color w:val="000000"/>
                <w:sz w:val="17"/>
                <w:szCs w:val="17"/>
              </w:rPr>
              <w:t xml:space="preserve">有</w:t>
            </w:r>
          </w:p>
        </w:tc>
        <w:tc>
          <w:tcPr>
            <w:tcW w:type="pct" w:w="1450"/>
            <w:tcMar>
              <w:top w:type="dxa" w:w="70"/>
              <w:left w:type="dxa" w:w="100"/>
              <w:bottom w:type="dxa" w:w="70"/>
              <w:right w:type="dxa" w:w="100"/>
            </w:tcMar>
          </w:tcPr>
          <w:p>
            <w:pPr>
              <w:spacing w:line="264"/>
              <w:jc w:val="left"/>
            </w:pPr>
            <w:r>
              <w:rPr>
                <w:rFonts w:ascii="Times New Roman" w:eastAsia="SimSun"/>
                <w:b w:val="false"/>
                <w:bCs w:val="false"/>
                <w:color w:val="000000"/>
                <w:sz w:val="17"/>
                <w:szCs w:val="17"/>
              </w:rPr>
              <w:t xml:space="preserve">偏移下 DE 最稳；但预算不跨方法匹配</w:t>
            </w:r>
          </w:p>
        </w:tc>
      </w:tr>
      <w:tr>
        <w:trPr>
          <w:cantSplit/>
        </w:trPr>
        <w:tc>
          <w:tcPr>
            <w:tcW w:type="pct" w:w="800"/>
            <w:shd w:fill="F2F6F5" w:val="clear"/>
            <w:tcMar>
              <w:top w:type="dxa" w:w="70"/>
              <w:left w:type="dxa" w:w="100"/>
              <w:bottom w:type="dxa" w:w="70"/>
              <w:right w:type="dxa" w:w="100"/>
            </w:tcMar>
          </w:tcPr>
          <w:p>
            <w:pPr>
              <w:spacing w:line="264"/>
              <w:jc w:val="left"/>
            </w:pPr>
            <w:r>
              <w:rPr>
                <w:rFonts w:ascii="Times New Roman" w:eastAsia="SimSun"/>
                <w:b w:val="false"/>
                <w:bCs w:val="false"/>
                <w:color w:val="000000"/>
                <w:sz w:val="17"/>
                <w:szCs w:val="17"/>
              </w:rPr>
              <w:t xml:space="preserve">Wen et al. 2020 (ICML)</w:t>
            </w:r>
          </w:p>
        </w:tc>
        <w:tc>
          <w:tcPr>
            <w:tcW w:type="pct" w:w="750"/>
            <w:shd w:fill="F2F6F5" w:val="clear"/>
            <w:tcMar>
              <w:top w:type="dxa" w:w="70"/>
              <w:left w:type="dxa" w:w="100"/>
              <w:bottom w:type="dxa" w:w="70"/>
              <w:right w:type="dxa" w:w="100"/>
            </w:tcMar>
          </w:tcPr>
          <w:p>
            <w:pPr>
              <w:spacing w:line="264"/>
              <w:jc w:val="left"/>
            </w:pPr>
            <w:r>
              <w:rPr>
                <w:rFonts w:ascii="Times New Roman" w:eastAsia="SimSun"/>
                <w:b w:val="false"/>
                <w:bCs w:val="false"/>
                <w:color w:val="000000"/>
                <w:sz w:val="17"/>
                <w:szCs w:val="17"/>
              </w:rPr>
              <w:t xml:space="preserve">参数高效集成</w:t>
            </w:r>
          </w:p>
        </w:tc>
        <w:tc>
          <w:tcPr>
            <w:tcW w:type="pct" w:w="550"/>
            <w:shd w:fill="F2F6F5" w:val="clear"/>
            <w:tcMar>
              <w:top w:type="dxa" w:w="70"/>
              <w:left w:type="dxa" w:w="100"/>
              <w:bottom w:type="dxa" w:w="70"/>
              <w:right w:type="dxa" w:w="100"/>
            </w:tcMar>
          </w:tcPr>
          <w:p>
            <w:pPr>
              <w:spacing w:line="264"/>
              <w:jc w:val="left"/>
            </w:pPr>
            <w:r>
              <w:rPr>
                <w:rFonts w:ascii="Times New Roman" w:eastAsia="SimSun"/>
                <w:b w:val="false"/>
                <w:bCs w:val="false"/>
                <w:color w:val="000000"/>
                <w:sz w:val="17"/>
                <w:szCs w:val="17"/>
              </w:rPr>
              <w:t xml:space="preserve">BatchEnsemble</w:t>
            </w:r>
          </w:p>
        </w:tc>
        <w:tc>
          <w:tcPr>
            <w:tcW w:type="pct" w:w="550"/>
            <w:shd w:fill="F2F6F5" w:val="clear"/>
            <w:tcMar>
              <w:top w:type="dxa" w:w="70"/>
              <w:left w:type="dxa" w:w="100"/>
              <w:bottom w:type="dxa" w:w="70"/>
              <w:right w:type="dxa" w:w="100"/>
            </w:tcMar>
          </w:tcPr>
          <w:p>
            <w:pPr>
              <w:spacing w:line="264"/>
              <w:jc w:val="left"/>
            </w:pPr>
            <w:r>
              <w:rPr>
                <w:rFonts w:ascii="Times New Roman" w:eastAsia="SimSun"/>
                <w:b w:val="false"/>
                <w:bCs w:val="false"/>
                <w:color w:val="000000"/>
                <w:sz w:val="17"/>
                <w:szCs w:val="17"/>
              </w:rPr>
              <w:t xml:space="preserve">部分</w:t>
            </w:r>
          </w:p>
        </w:tc>
        <w:tc>
          <w:tcPr>
            <w:tcW w:type="pct" w:w="450"/>
            <w:shd w:fill="F2F6F5" w:val="clear"/>
            <w:tcMar>
              <w:top w:type="dxa" w:w="70"/>
              <w:left w:type="dxa" w:w="100"/>
              <w:bottom w:type="dxa" w:w="70"/>
              <w:right w:type="dxa" w:w="100"/>
            </w:tcMar>
          </w:tcPr>
          <w:p>
            <w:pPr>
              <w:spacing w:line="264"/>
              <w:jc w:val="left"/>
            </w:pPr>
            <w:r>
              <w:rPr>
                <w:rFonts w:ascii="Times New Roman" w:eastAsia="SimSun"/>
                <w:b w:val="false"/>
                <w:bCs w:val="false"/>
                <w:color w:val="000000"/>
                <w:sz w:val="17"/>
                <w:szCs w:val="17"/>
              </w:rPr>
              <w:t xml:space="preserve">有</w:t>
            </w:r>
          </w:p>
        </w:tc>
        <w:tc>
          <w:tcPr>
            <w:tcW w:type="pct" w:w="450"/>
            <w:shd w:fill="F2F6F5" w:val="clear"/>
            <w:tcMar>
              <w:top w:type="dxa" w:w="70"/>
              <w:left w:type="dxa" w:w="100"/>
              <w:bottom w:type="dxa" w:w="70"/>
              <w:right w:type="dxa" w:w="100"/>
            </w:tcMar>
          </w:tcPr>
          <w:p>
            <w:pPr>
              <w:spacing w:line="264"/>
              <w:jc w:val="left"/>
            </w:pPr>
            <w:r>
              <w:rPr>
                <w:rFonts w:ascii="Times New Roman" w:eastAsia="SimSun"/>
                <w:b w:val="false"/>
                <w:bCs w:val="false"/>
                <w:color w:val="000000"/>
                <w:sz w:val="17"/>
                <w:szCs w:val="17"/>
              </w:rPr>
              <w:t xml:space="preserve">无</w:t>
            </w:r>
          </w:p>
        </w:tc>
        <w:tc>
          <w:tcPr>
            <w:tcW w:type="pct" w:w="1450"/>
            <w:shd w:fill="F2F6F5" w:val="clear"/>
            <w:tcMar>
              <w:top w:type="dxa" w:w="70"/>
              <w:left w:type="dxa" w:w="100"/>
              <w:bottom w:type="dxa" w:w="70"/>
              <w:right w:type="dxa" w:w="100"/>
            </w:tcMar>
          </w:tcPr>
          <w:p>
            <w:pPr>
              <w:spacing w:line="264"/>
              <w:jc w:val="left"/>
            </w:pPr>
            <w:r>
              <w:rPr>
                <w:rFonts w:ascii="Times New Roman" w:eastAsia="SimSun"/>
                <w:b w:val="false"/>
                <w:bCs w:val="false"/>
                <w:color w:val="000000"/>
                <w:sz w:val="17"/>
                <w:szCs w:val="17"/>
              </w:rPr>
              <w:t xml:space="preserve">效率轴；预测端等价 DE</w:t>
            </w:r>
          </w:p>
        </w:tc>
      </w:tr>
      <w:tr>
        <w:trPr>
          <w:cantSplit/>
        </w:trPr>
        <w:tc>
          <w:tcPr>
            <w:tcW w:type="pct" w:w="800"/>
            <w:tcMar>
              <w:top w:type="dxa" w:w="70"/>
              <w:left w:type="dxa" w:w="100"/>
              <w:bottom w:type="dxa" w:w="70"/>
              <w:right w:type="dxa" w:w="100"/>
            </w:tcMar>
          </w:tcPr>
          <w:p>
            <w:pPr>
              <w:spacing w:line="264"/>
              <w:jc w:val="left"/>
            </w:pPr>
            <w:r>
              <w:rPr>
                <w:rFonts w:ascii="Times New Roman" w:eastAsia="SimSun"/>
                <w:b w:val="false"/>
                <w:bCs w:val="false"/>
                <w:color w:val="000000"/>
                <w:sz w:val="17"/>
                <w:szCs w:val="17"/>
              </w:rPr>
              <w:t xml:space="preserve">Ashukha et al. 2020 (ICLR)</w:t>
            </w:r>
          </w:p>
        </w:tc>
        <w:tc>
          <w:tcPr>
            <w:tcW w:type="pct" w:w="750"/>
            <w:tcMar>
              <w:top w:type="dxa" w:w="70"/>
              <w:left w:type="dxa" w:w="100"/>
              <w:bottom w:type="dxa" w:w="70"/>
              <w:right w:type="dxa" w:w="100"/>
            </w:tcMar>
          </w:tcPr>
          <w:p>
            <w:pPr>
              <w:spacing w:line="264"/>
              <w:jc w:val="left"/>
            </w:pPr>
            <w:r>
              <w:rPr>
                <w:rFonts w:ascii="Times New Roman" w:eastAsia="SimSun"/>
                <w:b w:val="false"/>
                <w:bCs w:val="false"/>
                <w:color w:val="000000"/>
                <w:sz w:val="17"/>
                <w:szCs w:val="17"/>
              </w:rPr>
              <w:t xml:space="preserve">域内 UQ 陷阱</w:t>
            </w:r>
          </w:p>
        </w:tc>
        <w:tc>
          <w:tcPr>
            <w:tcW w:type="pct" w:w="550"/>
            <w:tcMar>
              <w:top w:type="dxa" w:w="70"/>
              <w:left w:type="dxa" w:w="100"/>
              <w:bottom w:type="dxa" w:w="70"/>
              <w:right w:type="dxa" w:w="100"/>
            </w:tcMar>
          </w:tcPr>
          <w:p>
            <w:pPr>
              <w:spacing w:line="264"/>
              <w:jc w:val="left"/>
            </w:pPr>
            <w:r>
              <w:rPr>
                <w:rFonts w:ascii="Times New Roman" w:eastAsia="SimSun"/>
                <w:b w:val="false"/>
                <w:bCs w:val="false"/>
                <w:color w:val="000000"/>
                <w:sz w:val="17"/>
                <w:szCs w:val="17"/>
              </w:rPr>
              <w:t xml:space="preserve">单+TS vs DE</w:t>
            </w:r>
          </w:p>
        </w:tc>
        <w:tc>
          <w:tcPr>
            <w:tcW w:type="pct" w:w="550"/>
            <w:tcMar>
              <w:top w:type="dxa" w:w="70"/>
              <w:left w:type="dxa" w:w="100"/>
              <w:bottom w:type="dxa" w:w="70"/>
              <w:right w:type="dxa" w:w="100"/>
            </w:tcMar>
          </w:tcPr>
          <w:p>
            <w:pPr>
              <w:spacing w:line="264"/>
              <w:jc w:val="left"/>
            </w:pPr>
            <w:r>
              <w:rPr>
                <w:rFonts w:ascii="Times New Roman" w:eastAsia="SimSun"/>
                <w:b w:val="false"/>
                <w:bCs w:val="false"/>
                <w:color w:val="000000"/>
                <w:sz w:val="17"/>
                <w:szCs w:val="17"/>
              </w:rPr>
              <w:t xml:space="preserve">算力匹配（DEE）</w:t>
            </w:r>
          </w:p>
        </w:tc>
        <w:tc>
          <w:tcPr>
            <w:tcW w:type="pct" w:w="450"/>
            <w:tcMar>
              <w:top w:type="dxa" w:w="70"/>
              <w:left w:type="dxa" w:w="100"/>
              <w:bottom w:type="dxa" w:w="70"/>
              <w:right w:type="dxa" w:w="100"/>
            </w:tcMar>
          </w:tcPr>
          <w:p>
            <w:pPr>
              <w:spacing w:line="264"/>
              <w:jc w:val="left"/>
            </w:pPr>
            <w:r>
              <w:rPr>
                <w:rFonts w:ascii="Times New Roman" w:eastAsia="SimSun"/>
                <w:b w:val="false"/>
                <w:bCs w:val="false"/>
                <w:color w:val="000000"/>
                <w:sz w:val="17"/>
                <w:szCs w:val="17"/>
              </w:rPr>
              <w:t xml:space="preserve">NLL/覆盖</w:t>
            </w:r>
          </w:p>
        </w:tc>
        <w:tc>
          <w:tcPr>
            <w:tcW w:type="pct" w:w="450"/>
            <w:tcMar>
              <w:top w:type="dxa" w:w="70"/>
              <w:left w:type="dxa" w:w="100"/>
              <w:bottom w:type="dxa" w:w="70"/>
              <w:right w:type="dxa" w:w="100"/>
            </w:tcMar>
          </w:tcPr>
          <w:p>
            <w:pPr>
              <w:spacing w:line="264"/>
              <w:jc w:val="left"/>
            </w:pPr>
            <w:r>
              <w:rPr>
                <w:rFonts w:ascii="Times New Roman" w:eastAsia="SimSun"/>
                <w:b w:val="false"/>
                <w:bCs w:val="false"/>
                <w:color w:val="000000"/>
                <w:sz w:val="17"/>
                <w:szCs w:val="17"/>
              </w:rPr>
              <w:t xml:space="preserve">无</w:t>
            </w:r>
          </w:p>
        </w:tc>
        <w:tc>
          <w:tcPr>
            <w:tcW w:type="pct" w:w="1450"/>
            <w:tcMar>
              <w:top w:type="dxa" w:w="70"/>
              <w:left w:type="dxa" w:w="100"/>
              <w:bottom w:type="dxa" w:w="70"/>
              <w:right w:type="dxa" w:w="100"/>
            </w:tcMar>
          </w:tcPr>
          <w:p>
            <w:pPr>
              <w:spacing w:line="264"/>
              <w:jc w:val="left"/>
            </w:pPr>
            <w:r>
              <w:rPr>
                <w:rFonts w:ascii="Times New Roman" w:eastAsia="SimSun"/>
                <w:b w:val="false"/>
                <w:bCs w:val="false"/>
                <w:color w:val="000000"/>
                <w:sz w:val="17"/>
                <w:szCs w:val="17"/>
              </w:rPr>
              <w:t xml:space="preserve">对比(i)最近邻：域内、无快照/SWA/OOD/预算分配</w:t>
            </w:r>
          </w:p>
        </w:tc>
      </w:tr>
      <w:tr>
        <w:trPr>
          <w:cantSplit/>
        </w:trPr>
        <w:tc>
          <w:tcPr>
            <w:tcW w:type="pct" w:w="800"/>
            <w:shd w:fill="F2F6F5" w:val="clear"/>
            <w:tcMar>
              <w:top w:type="dxa" w:w="70"/>
              <w:left w:type="dxa" w:w="100"/>
              <w:bottom w:type="dxa" w:w="70"/>
              <w:right w:type="dxa" w:w="100"/>
            </w:tcMar>
          </w:tcPr>
          <w:p>
            <w:pPr>
              <w:spacing w:line="264"/>
              <w:jc w:val="left"/>
            </w:pPr>
            <w:r>
              <w:rPr>
                <w:rFonts w:ascii="Times New Roman" w:eastAsia="SimSun"/>
                <w:b w:val="false"/>
                <w:bCs w:val="false"/>
                <w:color w:val="000000"/>
                <w:sz w:val="17"/>
                <w:szCs w:val="17"/>
              </w:rPr>
              <w:t xml:space="preserve">Zhang et al. 2020 (AISTATS)</w:t>
            </w:r>
          </w:p>
        </w:tc>
        <w:tc>
          <w:tcPr>
            <w:tcW w:type="pct" w:w="750"/>
            <w:shd w:fill="F2F6F5" w:val="clear"/>
            <w:tcMar>
              <w:top w:type="dxa" w:w="70"/>
              <w:left w:type="dxa" w:w="100"/>
              <w:bottom w:type="dxa" w:w="70"/>
              <w:right w:type="dxa" w:w="100"/>
            </w:tcMar>
          </w:tcPr>
          <w:p>
            <w:pPr>
              <w:spacing w:line="264"/>
              <w:jc w:val="left"/>
            </w:pPr>
            <w:r>
              <w:rPr>
                <w:rFonts w:ascii="Times New Roman" w:eastAsia="SimSun"/>
                <w:b w:val="false"/>
                <w:bCs w:val="false"/>
                <w:color w:val="000000"/>
                <w:sz w:val="17"/>
                <w:szCs w:val="17"/>
              </w:rPr>
              <w:t xml:space="preserve">DE 与后校准交互</w:t>
            </w:r>
          </w:p>
        </w:tc>
        <w:tc>
          <w:tcPr>
            <w:tcW w:type="pct" w:w="550"/>
            <w:shd w:fill="F2F6F5" w:val="clear"/>
            <w:tcMar>
              <w:top w:type="dxa" w:w="70"/>
              <w:left w:type="dxa" w:w="100"/>
              <w:bottom w:type="dxa" w:w="70"/>
              <w:right w:type="dxa" w:w="100"/>
            </w:tcMar>
          </w:tcPr>
          <w:p>
            <w:pPr>
              <w:spacing w:line="264"/>
              <w:jc w:val="left"/>
            </w:pPr>
            <w:r>
              <w:rPr>
                <w:rFonts w:ascii="Times New Roman" w:eastAsia="SimSun"/>
                <w:b w:val="false"/>
                <w:bCs w:val="false"/>
                <w:color w:val="000000"/>
                <w:sz w:val="17"/>
                <w:szCs w:val="17"/>
              </w:rPr>
              <w:t xml:space="preserve">DE+校准器</w:t>
            </w:r>
          </w:p>
        </w:tc>
        <w:tc>
          <w:tcPr>
            <w:tcW w:type="pct" w:w="550"/>
            <w:shd w:fill="F2F6F5" w:val="clear"/>
            <w:tcMar>
              <w:top w:type="dxa" w:w="70"/>
              <w:left w:type="dxa" w:w="100"/>
              <w:bottom w:type="dxa" w:w="70"/>
              <w:right w:type="dxa" w:w="100"/>
            </w:tcMar>
          </w:tcPr>
          <w:p>
            <w:pPr>
              <w:spacing w:line="264"/>
              <w:jc w:val="left"/>
            </w:pPr>
            <w:r>
              <w:rPr>
                <w:rFonts w:ascii="Times New Roman" w:eastAsia="SimSun"/>
                <w:b w:val="false"/>
                <w:bCs w:val="false"/>
                <w:color w:val="000000"/>
                <w:sz w:val="17"/>
                <w:szCs w:val="17"/>
              </w:rPr>
              <w:t xml:space="preserve">无</w:t>
            </w:r>
          </w:p>
        </w:tc>
        <w:tc>
          <w:tcPr>
            <w:tcW w:type="pct" w:w="450"/>
            <w:shd w:fill="F2F6F5" w:val="clear"/>
            <w:tcMar>
              <w:top w:type="dxa" w:w="70"/>
              <w:left w:type="dxa" w:w="100"/>
              <w:bottom w:type="dxa" w:w="70"/>
              <w:right w:type="dxa" w:w="100"/>
            </w:tcMar>
          </w:tcPr>
          <w:p>
            <w:pPr>
              <w:spacing w:line="264"/>
              <w:jc w:val="left"/>
            </w:pPr>
            <w:r>
              <w:rPr>
                <w:rFonts w:ascii="Times New Roman" w:eastAsia="SimSun"/>
                <w:b w:val="false"/>
                <w:bCs w:val="false"/>
                <w:color w:val="000000"/>
                <w:sz w:val="17"/>
                <w:szCs w:val="17"/>
              </w:rPr>
              <w:t xml:space="preserve">有</w:t>
            </w:r>
          </w:p>
        </w:tc>
        <w:tc>
          <w:tcPr>
            <w:tcW w:type="pct" w:w="450"/>
            <w:shd w:fill="F2F6F5" w:val="clear"/>
            <w:tcMar>
              <w:top w:type="dxa" w:w="70"/>
              <w:left w:type="dxa" w:w="100"/>
              <w:bottom w:type="dxa" w:w="70"/>
              <w:right w:type="dxa" w:w="100"/>
            </w:tcMar>
          </w:tcPr>
          <w:p>
            <w:pPr>
              <w:spacing w:line="264"/>
              <w:jc w:val="left"/>
            </w:pPr>
            <w:r>
              <w:rPr>
                <w:rFonts w:ascii="Times New Roman" w:eastAsia="SimSun"/>
                <w:b w:val="false"/>
                <w:bCs w:val="false"/>
                <w:color w:val="000000"/>
                <w:sz w:val="17"/>
                <w:szCs w:val="17"/>
              </w:rPr>
              <w:t xml:space="preserve">无</w:t>
            </w:r>
          </w:p>
        </w:tc>
        <w:tc>
          <w:tcPr>
            <w:tcW w:type="pct" w:w="1450"/>
            <w:shd w:fill="F2F6F5" w:val="clear"/>
            <w:tcMar>
              <w:top w:type="dxa" w:w="70"/>
              <w:left w:type="dxa" w:w="100"/>
              <w:bottom w:type="dxa" w:w="70"/>
              <w:right w:type="dxa" w:w="100"/>
            </w:tcMar>
          </w:tcPr>
          <w:p>
            <w:pPr>
              <w:spacing w:line="264"/>
              <w:jc w:val="left"/>
            </w:pPr>
            <w:r>
              <w:rPr>
                <w:rFonts w:ascii="Times New Roman" w:eastAsia="SimSun"/>
                <w:b w:val="false"/>
                <w:bCs w:val="false"/>
                <w:color w:val="000000"/>
                <w:sz w:val="17"/>
                <w:szCs w:val="17"/>
              </w:rPr>
              <w:t xml:space="preserve">TS 交互先例；无预算匹配</w:t>
            </w:r>
          </w:p>
        </w:tc>
      </w:tr>
      <w:tr>
        <w:trPr>
          <w:cantSplit/>
        </w:trPr>
        <w:tc>
          <w:tcPr>
            <w:tcW w:type="pct" w:w="800"/>
            <w:tcMar>
              <w:top w:type="dxa" w:w="70"/>
              <w:left w:type="dxa" w:w="100"/>
              <w:bottom w:type="dxa" w:w="70"/>
              <w:right w:type="dxa" w:w="100"/>
            </w:tcMar>
          </w:tcPr>
          <w:p>
            <w:pPr>
              <w:spacing w:line="264"/>
              <w:jc w:val="left"/>
            </w:pPr>
            <w:r>
              <w:rPr>
                <w:rFonts w:ascii="Times New Roman" w:eastAsia="SimSun"/>
                <w:b w:val="false"/>
                <w:bCs w:val="false"/>
                <w:color w:val="000000"/>
                <w:sz w:val="17"/>
                <w:szCs w:val="17"/>
              </w:rPr>
              <w:t xml:space="preserve">Kondratyuk et al. 2020 (arXiv)</w:t>
            </w:r>
          </w:p>
        </w:tc>
        <w:tc>
          <w:tcPr>
            <w:tcW w:type="pct" w:w="750"/>
            <w:tcMar>
              <w:top w:type="dxa" w:w="70"/>
              <w:left w:type="dxa" w:w="100"/>
              <w:bottom w:type="dxa" w:w="70"/>
              <w:right w:type="dxa" w:w="100"/>
            </w:tcMar>
          </w:tcPr>
          <w:p>
            <w:pPr>
              <w:spacing w:line="264"/>
              <w:jc w:val="left"/>
            </w:pPr>
            <w:r>
              <w:rPr>
                <w:rFonts w:ascii="Times New Roman" w:eastAsia="SimSun"/>
                <w:b w:val="false"/>
                <w:bCs w:val="false"/>
                <w:color w:val="000000"/>
                <w:sz w:val="17"/>
                <w:szCs w:val="17"/>
              </w:rPr>
              <w:t xml:space="preserve">小模型集成 vs 单大模型</w:t>
            </w:r>
          </w:p>
        </w:tc>
        <w:tc>
          <w:tcPr>
            <w:tcW w:type="pct" w:w="550"/>
            <w:tcMar>
              <w:top w:type="dxa" w:w="70"/>
              <w:left w:type="dxa" w:w="100"/>
              <w:bottom w:type="dxa" w:w="70"/>
              <w:right w:type="dxa" w:w="100"/>
            </w:tcMar>
          </w:tcPr>
          <w:p>
            <w:pPr>
              <w:spacing w:line="264"/>
              <w:jc w:val="left"/>
            </w:pPr>
            <w:r>
              <w:rPr>
                <w:rFonts w:ascii="Times New Roman" w:eastAsia="SimSun"/>
                <w:b w:val="false"/>
                <w:bCs w:val="false"/>
                <w:color w:val="000000"/>
                <w:sz w:val="17"/>
                <w:szCs w:val="17"/>
              </w:rPr>
              <w:t xml:space="preserve">容量分配</w:t>
            </w:r>
          </w:p>
        </w:tc>
        <w:tc>
          <w:tcPr>
            <w:tcW w:type="pct" w:w="550"/>
            <w:tcMar>
              <w:top w:type="dxa" w:w="70"/>
              <w:left w:type="dxa" w:w="100"/>
              <w:bottom w:type="dxa" w:w="70"/>
              <w:right w:type="dxa" w:w="100"/>
            </w:tcMar>
          </w:tcPr>
          <w:p>
            <w:pPr>
              <w:spacing w:line="264"/>
              <w:jc w:val="left"/>
            </w:pPr>
            <w:r>
              <w:rPr>
                <w:rFonts w:ascii="Times New Roman" w:eastAsia="SimSun"/>
                <w:b w:val="false"/>
                <w:bCs w:val="false"/>
                <w:color w:val="000000"/>
                <w:sz w:val="17"/>
                <w:szCs w:val="17"/>
              </w:rPr>
              <w:t xml:space="preserve">FLOPs 匹配</w:t>
            </w:r>
          </w:p>
        </w:tc>
        <w:tc>
          <w:tcPr>
            <w:tcW w:type="pct" w:w="450"/>
            <w:tcMar>
              <w:top w:type="dxa" w:w="70"/>
              <w:left w:type="dxa" w:w="100"/>
              <w:bottom w:type="dxa" w:w="70"/>
              <w:right w:type="dxa" w:w="100"/>
            </w:tcMar>
          </w:tcPr>
          <w:p>
            <w:pPr>
              <w:spacing w:line="264"/>
              <w:jc w:val="left"/>
            </w:pPr>
            <w:r>
              <w:rPr>
                <w:rFonts w:ascii="Times New Roman" w:eastAsia="SimSun"/>
                <w:b w:val="false"/>
                <w:bCs w:val="false"/>
                <w:color w:val="000000"/>
                <w:sz w:val="17"/>
                <w:szCs w:val="17"/>
              </w:rPr>
              <w:t xml:space="preserve">无（精度）</w:t>
            </w:r>
          </w:p>
        </w:tc>
        <w:tc>
          <w:tcPr>
            <w:tcW w:type="pct" w:w="450"/>
            <w:tcMar>
              <w:top w:type="dxa" w:w="70"/>
              <w:left w:type="dxa" w:w="100"/>
              <w:bottom w:type="dxa" w:w="70"/>
              <w:right w:type="dxa" w:w="100"/>
            </w:tcMar>
          </w:tcPr>
          <w:p>
            <w:pPr>
              <w:spacing w:line="264"/>
              <w:jc w:val="left"/>
            </w:pPr>
            <w:r>
              <w:rPr>
                <w:rFonts w:ascii="Times New Roman" w:eastAsia="SimSun"/>
                <w:b w:val="false"/>
                <w:bCs w:val="false"/>
                <w:color w:val="000000"/>
                <w:sz w:val="17"/>
                <w:szCs w:val="17"/>
              </w:rPr>
              <w:t xml:space="preserve">无</w:t>
            </w:r>
          </w:p>
        </w:tc>
        <w:tc>
          <w:tcPr>
            <w:tcW w:type="pct" w:w="1450"/>
            <w:tcMar>
              <w:top w:type="dxa" w:w="70"/>
              <w:left w:type="dxa" w:w="100"/>
              <w:bottom w:type="dxa" w:w="70"/>
              <w:right w:type="dxa" w:w="100"/>
            </w:tcMar>
          </w:tcPr>
          <w:p>
            <w:pPr>
              <w:spacing w:line="264"/>
              <w:jc w:val="left"/>
            </w:pPr>
            <w:r>
              <w:rPr>
                <w:rFonts w:ascii="Times New Roman" w:eastAsia="SimSun"/>
                <w:b w:val="false"/>
                <w:bCs w:val="false"/>
                <w:color w:val="000000"/>
                <w:sz w:val="17"/>
                <w:szCs w:val="17"/>
              </w:rPr>
              <w:t xml:space="preserve">容量轴的预算分配；非训练时长轴、无校准（本轮新核验，现稿未引）</w:t>
            </w:r>
          </w:p>
        </w:tc>
      </w:tr>
      <w:tr>
        <w:trPr>
          <w:cantSplit/>
        </w:trPr>
        <w:tc>
          <w:tcPr>
            <w:tcW w:type="pct" w:w="800"/>
            <w:shd w:fill="F2F6F5" w:val="clear"/>
            <w:tcMar>
              <w:top w:type="dxa" w:w="70"/>
              <w:left w:type="dxa" w:w="100"/>
              <w:bottom w:type="dxa" w:w="70"/>
              <w:right w:type="dxa" w:w="100"/>
            </w:tcMar>
          </w:tcPr>
          <w:p>
            <w:pPr>
              <w:spacing w:line="264"/>
              <w:jc w:val="left"/>
            </w:pPr>
            <w:r>
              <w:rPr>
                <w:rFonts w:ascii="Times New Roman" w:eastAsia="SimSun"/>
                <w:b w:val="false"/>
                <w:bCs w:val="false"/>
                <w:color w:val="000000"/>
                <w:sz w:val="17"/>
                <w:szCs w:val="17"/>
              </w:rPr>
              <w:t xml:space="preserve">Brigato &amp; Iocchi 2021 (arXiv)</w:t>
            </w:r>
          </w:p>
        </w:tc>
        <w:tc>
          <w:tcPr>
            <w:tcW w:type="pct" w:w="750"/>
            <w:shd w:fill="F2F6F5" w:val="clear"/>
            <w:tcMar>
              <w:top w:type="dxa" w:w="70"/>
              <w:left w:type="dxa" w:w="100"/>
              <w:bottom w:type="dxa" w:w="70"/>
              <w:right w:type="dxa" w:w="100"/>
            </w:tcMar>
          </w:tcPr>
          <w:p>
            <w:pPr>
              <w:spacing w:line="264"/>
              <w:jc w:val="left"/>
            </w:pPr>
            <w:r>
              <w:rPr>
                <w:rFonts w:ascii="Times New Roman" w:eastAsia="SimSun"/>
                <w:b w:val="false"/>
                <w:bCs w:val="false"/>
                <w:color w:val="000000"/>
                <w:sz w:val="17"/>
                <w:szCs w:val="17"/>
              </w:rPr>
              <w:t xml:space="preserve">小数据上集成有效性</w:t>
            </w:r>
          </w:p>
        </w:tc>
        <w:tc>
          <w:tcPr>
            <w:tcW w:type="pct" w:w="550"/>
            <w:shd w:fill="F2F6F5" w:val="clear"/>
            <w:tcMar>
              <w:top w:type="dxa" w:w="70"/>
              <w:left w:type="dxa" w:w="100"/>
              <w:bottom w:type="dxa" w:w="70"/>
              <w:right w:type="dxa" w:w="100"/>
            </w:tcMar>
          </w:tcPr>
          <w:p>
            <w:pPr>
              <w:spacing w:line="264"/>
              <w:jc w:val="left"/>
            </w:pPr>
            <w:r>
              <w:rPr>
                <w:rFonts w:ascii="Times New Roman" w:eastAsia="SimSun"/>
                <w:b w:val="false"/>
                <w:bCs w:val="false"/>
                <w:color w:val="000000"/>
                <w:sz w:val="17"/>
                <w:szCs w:val="17"/>
              </w:rPr>
              <w:t xml:space="preserve">架构轴缩放</w:t>
            </w:r>
          </w:p>
        </w:tc>
        <w:tc>
          <w:tcPr>
            <w:tcW w:type="pct" w:w="550"/>
            <w:shd w:fill="F2F6F5" w:val="clear"/>
            <w:tcMar>
              <w:top w:type="dxa" w:w="70"/>
              <w:left w:type="dxa" w:w="100"/>
              <w:bottom w:type="dxa" w:w="70"/>
              <w:right w:type="dxa" w:w="100"/>
            </w:tcMar>
          </w:tcPr>
          <w:p>
            <w:pPr>
              <w:spacing w:line="264"/>
              <w:jc w:val="left"/>
            </w:pPr>
            <w:r>
              <w:rPr>
                <w:rFonts w:ascii="Times New Roman" w:eastAsia="SimSun"/>
                <w:b w:val="false"/>
                <w:bCs w:val="false"/>
                <w:color w:val="000000"/>
                <w:sz w:val="17"/>
                <w:szCs w:val="17"/>
              </w:rPr>
              <w:t xml:space="preserve">固定总算力</w:t>
            </w:r>
          </w:p>
        </w:tc>
        <w:tc>
          <w:tcPr>
            <w:tcW w:type="pct" w:w="450"/>
            <w:shd w:fill="F2F6F5" w:val="clear"/>
            <w:tcMar>
              <w:top w:type="dxa" w:w="70"/>
              <w:left w:type="dxa" w:w="100"/>
              <w:bottom w:type="dxa" w:w="70"/>
              <w:right w:type="dxa" w:w="100"/>
            </w:tcMar>
          </w:tcPr>
          <w:p>
            <w:pPr>
              <w:spacing w:line="264"/>
              <w:jc w:val="left"/>
            </w:pPr>
            <w:r>
              <w:rPr>
                <w:rFonts w:ascii="Times New Roman" w:eastAsia="SimSun"/>
                <w:b w:val="false"/>
                <w:bCs w:val="false"/>
                <w:color w:val="000000"/>
                <w:sz w:val="17"/>
                <w:szCs w:val="17"/>
              </w:rPr>
              <w:t xml:space="preserve">无（精度）</w:t>
            </w:r>
          </w:p>
        </w:tc>
        <w:tc>
          <w:tcPr>
            <w:tcW w:type="pct" w:w="450"/>
            <w:shd w:fill="F2F6F5" w:val="clear"/>
            <w:tcMar>
              <w:top w:type="dxa" w:w="70"/>
              <w:left w:type="dxa" w:w="100"/>
              <w:bottom w:type="dxa" w:w="70"/>
              <w:right w:type="dxa" w:w="100"/>
            </w:tcMar>
          </w:tcPr>
          <w:p>
            <w:pPr>
              <w:spacing w:line="264"/>
              <w:jc w:val="left"/>
            </w:pPr>
            <w:r>
              <w:rPr>
                <w:rFonts w:ascii="Times New Roman" w:eastAsia="SimSun"/>
                <w:b w:val="false"/>
                <w:bCs w:val="false"/>
                <w:color w:val="000000"/>
                <w:sz w:val="17"/>
                <w:szCs w:val="17"/>
              </w:rPr>
              <w:t xml:space="preserve">无</w:t>
            </w:r>
          </w:p>
        </w:tc>
        <w:tc>
          <w:tcPr>
            <w:tcW w:type="pct" w:w="1450"/>
            <w:shd w:fill="F2F6F5" w:val="clear"/>
            <w:tcMar>
              <w:top w:type="dxa" w:w="70"/>
              <w:left w:type="dxa" w:w="100"/>
              <w:bottom w:type="dxa" w:w="70"/>
              <w:right w:type="dxa" w:w="100"/>
            </w:tcMar>
          </w:tcPr>
          <w:p>
            <w:pPr>
              <w:spacing w:line="264"/>
              <w:jc w:val="left"/>
            </w:pPr>
            <w:r>
              <w:rPr>
                <w:rFonts w:ascii="Times New Roman" w:eastAsia="SimSun"/>
                <w:b w:val="false"/>
                <w:bCs w:val="false"/>
                <w:color w:val="000000"/>
                <w:sz w:val="17"/>
                <w:szCs w:val="17"/>
              </w:rPr>
              <w:t xml:space="preserve">对比(i)另一轴：架构缩放替代时长分配</w:t>
            </w:r>
          </w:p>
        </w:tc>
      </w:tr>
      <w:tr>
        <w:trPr>
          <w:cantSplit/>
        </w:trPr>
        <w:tc>
          <w:tcPr>
            <w:tcW w:type="pct" w:w="800"/>
            <w:tcMar>
              <w:top w:type="dxa" w:w="70"/>
              <w:left w:type="dxa" w:w="100"/>
              <w:bottom w:type="dxa" w:w="70"/>
              <w:right w:type="dxa" w:w="100"/>
            </w:tcMar>
          </w:tcPr>
          <w:p>
            <w:pPr>
              <w:spacing w:line="264"/>
              <w:jc w:val="left"/>
            </w:pPr>
            <w:r>
              <w:rPr>
                <w:rFonts w:ascii="Times New Roman" w:eastAsia="SimSun"/>
                <w:b w:val="false"/>
                <w:bCs w:val="false"/>
                <w:color w:val="000000"/>
                <w:sz w:val="17"/>
                <w:szCs w:val="17"/>
              </w:rPr>
              <w:t xml:space="preserve">Ramé et al. 2022 (NeurIPS, DiWA)</w:t>
            </w:r>
          </w:p>
        </w:tc>
        <w:tc>
          <w:tcPr>
            <w:tcW w:type="pct" w:w="750"/>
            <w:tcMar>
              <w:top w:type="dxa" w:w="70"/>
              <w:left w:type="dxa" w:w="100"/>
              <w:bottom w:type="dxa" w:w="70"/>
              <w:right w:type="dxa" w:w="100"/>
            </w:tcMar>
          </w:tcPr>
          <w:p>
            <w:pPr>
              <w:spacing w:line="264"/>
              <w:jc w:val="left"/>
            </w:pPr>
            <w:r>
              <w:rPr>
                <w:rFonts w:ascii="Times New Roman" w:eastAsia="SimSun"/>
                <w:b w:val="false"/>
                <w:bCs w:val="false"/>
                <w:color w:val="000000"/>
                <w:sz w:val="17"/>
                <w:szCs w:val="17"/>
              </w:rPr>
              <w:t xml:space="preserve">权重平均何时利于 OOD 泛化</w:t>
            </w:r>
          </w:p>
        </w:tc>
        <w:tc>
          <w:tcPr>
            <w:tcW w:type="pct" w:w="550"/>
            <w:tcMar>
              <w:top w:type="dxa" w:w="70"/>
              <w:left w:type="dxa" w:w="100"/>
              <w:bottom w:type="dxa" w:w="70"/>
              <w:right w:type="dxa" w:w="100"/>
            </w:tcMar>
          </w:tcPr>
          <w:p>
            <w:pPr>
              <w:spacing w:line="264"/>
              <w:jc w:val="left"/>
            </w:pPr>
            <w:r>
              <w:rPr>
                <w:rFonts w:ascii="Times New Roman" w:eastAsia="SimSun"/>
                <w:b w:val="false"/>
                <w:bCs w:val="false"/>
                <w:color w:val="000000"/>
                <w:sz w:val="17"/>
                <w:szCs w:val="17"/>
              </w:rPr>
              <w:t xml:space="preserve">跨运行 WA</w:t>
            </w:r>
          </w:p>
        </w:tc>
        <w:tc>
          <w:tcPr>
            <w:tcW w:type="pct" w:w="550"/>
            <w:tcMar>
              <w:top w:type="dxa" w:w="70"/>
              <w:left w:type="dxa" w:w="100"/>
              <w:bottom w:type="dxa" w:w="70"/>
              <w:right w:type="dxa" w:w="100"/>
            </w:tcMar>
          </w:tcPr>
          <w:p>
            <w:pPr>
              <w:spacing w:line="264"/>
              <w:jc w:val="left"/>
            </w:pPr>
            <w:r>
              <w:rPr>
                <w:rFonts w:ascii="Times New Roman" w:eastAsia="SimSun"/>
                <w:b w:val="false"/>
                <w:bCs w:val="false"/>
                <w:color w:val="000000"/>
                <w:sz w:val="17"/>
                <w:szCs w:val="17"/>
              </w:rPr>
              <w:t xml:space="preserve">无</w:t>
            </w:r>
          </w:p>
        </w:tc>
        <w:tc>
          <w:tcPr>
            <w:tcW w:type="pct" w:w="450"/>
            <w:tcMar>
              <w:top w:type="dxa" w:w="70"/>
              <w:left w:type="dxa" w:w="100"/>
              <w:bottom w:type="dxa" w:w="70"/>
              <w:right w:type="dxa" w:w="100"/>
            </w:tcMar>
          </w:tcPr>
          <w:p>
            <w:pPr>
              <w:spacing w:line="264"/>
              <w:jc w:val="left"/>
            </w:pPr>
            <w:r>
              <w:rPr>
                <w:rFonts w:ascii="Times New Roman" w:eastAsia="SimSun"/>
                <w:b w:val="false"/>
                <w:bCs w:val="false"/>
                <w:color w:val="000000"/>
                <w:sz w:val="17"/>
                <w:szCs w:val="17"/>
              </w:rPr>
              <w:t xml:space="preserve">无（精度）</w:t>
            </w:r>
          </w:p>
        </w:tc>
        <w:tc>
          <w:tcPr>
            <w:tcW w:type="pct" w:w="450"/>
            <w:tcMar>
              <w:top w:type="dxa" w:w="70"/>
              <w:left w:type="dxa" w:w="100"/>
              <w:bottom w:type="dxa" w:w="70"/>
              <w:right w:type="dxa" w:w="100"/>
            </w:tcMar>
          </w:tcPr>
          <w:p>
            <w:pPr>
              <w:spacing w:line="264"/>
              <w:jc w:val="left"/>
            </w:pPr>
            <w:r>
              <w:rPr>
                <w:rFonts w:ascii="Times New Roman" w:eastAsia="SimSun"/>
                <w:b w:val="false"/>
                <w:bCs w:val="false"/>
                <w:color w:val="000000"/>
                <w:sz w:val="17"/>
                <w:szCs w:val="17"/>
              </w:rPr>
              <w:t xml:space="preserve">泛化精度</w:t>
            </w:r>
          </w:p>
        </w:tc>
        <w:tc>
          <w:tcPr>
            <w:tcW w:type="pct" w:w="1450"/>
            <w:tcMar>
              <w:top w:type="dxa" w:w="70"/>
              <w:left w:type="dxa" w:w="100"/>
              <w:bottom w:type="dxa" w:w="70"/>
              <w:right w:type="dxa" w:w="100"/>
            </w:tcMar>
          </w:tcPr>
          <w:p>
            <w:pPr>
              <w:spacing w:line="264"/>
              <w:jc w:val="left"/>
            </w:pPr>
            <w:r>
              <w:rPr>
                <w:rFonts w:ascii="Times New Roman" w:eastAsia="SimSun"/>
                <w:b w:val="false"/>
                <w:bCs w:val="false"/>
                <w:color w:val="000000"/>
                <w:sz w:val="17"/>
                <w:szCs w:val="17"/>
              </w:rPr>
              <w:t xml:space="preserve">WA+偏移最接近的理论；端点不同、非检查点配对</w:t>
            </w:r>
          </w:p>
        </w:tc>
      </w:tr>
      <w:tr>
        <w:trPr>
          <w:cantSplit/>
        </w:trPr>
        <w:tc>
          <w:tcPr>
            <w:tcW w:type="pct" w:w="800"/>
            <w:shd w:fill="F2F6F5" w:val="clear"/>
            <w:tcMar>
              <w:top w:type="dxa" w:w="70"/>
              <w:left w:type="dxa" w:w="100"/>
              <w:bottom w:type="dxa" w:w="70"/>
              <w:right w:type="dxa" w:w="100"/>
            </w:tcMar>
          </w:tcPr>
          <w:p>
            <w:pPr>
              <w:spacing w:line="264"/>
              <w:jc w:val="left"/>
            </w:pPr>
            <w:r>
              <w:rPr>
                <w:rFonts w:ascii="Times New Roman" w:eastAsia="SimSun"/>
                <w:b w:val="false"/>
                <w:bCs w:val="false"/>
                <w:color w:val="000000"/>
                <w:sz w:val="17"/>
                <w:szCs w:val="17"/>
              </w:rPr>
              <w:t xml:space="preserve">Krumpl et al. 2024 (WACV, ATS)</w:t>
            </w:r>
          </w:p>
        </w:tc>
        <w:tc>
          <w:tcPr>
            <w:tcW w:type="pct" w:w="750"/>
            <w:shd w:fill="F2F6F5" w:val="clear"/>
            <w:tcMar>
              <w:top w:type="dxa" w:w="70"/>
              <w:left w:type="dxa" w:w="100"/>
              <w:bottom w:type="dxa" w:w="70"/>
              <w:right w:type="dxa" w:w="100"/>
            </w:tcMar>
          </w:tcPr>
          <w:p>
            <w:pPr>
              <w:spacing w:line="264"/>
              <w:jc w:val="left"/>
            </w:pPr>
            <w:r>
              <w:rPr>
                <w:rFonts w:ascii="Times New Roman" w:eastAsia="SimSun"/>
                <w:b w:val="false"/>
                <w:bCs w:val="false"/>
                <w:color w:val="000000"/>
                <w:sz w:val="17"/>
                <w:szCs w:val="17"/>
              </w:rPr>
              <w:t xml:space="preserve">自适应 TS 改善 OOD 检测</w:t>
            </w:r>
          </w:p>
        </w:tc>
        <w:tc>
          <w:tcPr>
            <w:tcW w:type="pct" w:w="550"/>
            <w:shd w:fill="F2F6F5" w:val="clear"/>
            <w:tcMar>
              <w:top w:type="dxa" w:w="70"/>
              <w:left w:type="dxa" w:w="100"/>
              <w:bottom w:type="dxa" w:w="70"/>
              <w:right w:type="dxa" w:w="100"/>
            </w:tcMar>
          </w:tcPr>
          <w:p>
            <w:pPr>
              <w:spacing w:line="264"/>
              <w:jc w:val="left"/>
            </w:pPr>
            <w:r>
              <w:rPr>
                <w:rFonts w:ascii="Times New Roman" w:eastAsia="SimSun"/>
                <w:b w:val="false"/>
                <w:bCs w:val="false"/>
                <w:color w:val="000000"/>
                <w:sz w:val="17"/>
                <w:szCs w:val="17"/>
              </w:rPr>
              <w:t xml:space="preserve">样本级 TS</w:t>
            </w:r>
          </w:p>
        </w:tc>
        <w:tc>
          <w:tcPr>
            <w:tcW w:type="pct" w:w="550"/>
            <w:shd w:fill="F2F6F5" w:val="clear"/>
            <w:tcMar>
              <w:top w:type="dxa" w:w="70"/>
              <w:left w:type="dxa" w:w="100"/>
              <w:bottom w:type="dxa" w:w="70"/>
              <w:right w:type="dxa" w:w="100"/>
            </w:tcMar>
          </w:tcPr>
          <w:p>
            <w:pPr>
              <w:spacing w:line="264"/>
              <w:jc w:val="left"/>
            </w:pPr>
            <w:r>
              <w:rPr>
                <w:rFonts w:ascii="Times New Roman" w:eastAsia="SimSun"/>
                <w:b w:val="false"/>
                <w:bCs w:val="false"/>
                <w:color w:val="000000"/>
                <w:sz w:val="17"/>
                <w:szCs w:val="17"/>
              </w:rPr>
              <w:t xml:space="preserve">无</w:t>
            </w:r>
          </w:p>
        </w:tc>
        <w:tc>
          <w:tcPr>
            <w:tcW w:type="pct" w:w="450"/>
            <w:shd w:fill="F2F6F5" w:val="clear"/>
            <w:tcMar>
              <w:top w:type="dxa" w:w="70"/>
              <w:left w:type="dxa" w:w="100"/>
              <w:bottom w:type="dxa" w:w="70"/>
              <w:right w:type="dxa" w:w="100"/>
            </w:tcMar>
          </w:tcPr>
          <w:p>
            <w:pPr>
              <w:spacing w:line="264"/>
              <w:jc w:val="left"/>
            </w:pPr>
            <w:r>
              <w:rPr>
                <w:rFonts w:ascii="Times New Roman" w:eastAsia="SimSun"/>
                <w:b w:val="false"/>
                <w:bCs w:val="false"/>
                <w:color w:val="000000"/>
                <w:sz w:val="17"/>
                <w:szCs w:val="17"/>
              </w:rPr>
              <w:t xml:space="preserve">无</w:t>
            </w:r>
          </w:p>
        </w:tc>
        <w:tc>
          <w:tcPr>
            <w:tcW w:type="pct" w:w="450"/>
            <w:shd w:fill="F2F6F5" w:val="clear"/>
            <w:tcMar>
              <w:top w:type="dxa" w:w="70"/>
              <w:left w:type="dxa" w:w="100"/>
              <w:bottom w:type="dxa" w:w="70"/>
              <w:right w:type="dxa" w:w="100"/>
            </w:tcMar>
          </w:tcPr>
          <w:p>
            <w:pPr>
              <w:spacing w:line="264"/>
              <w:jc w:val="left"/>
            </w:pPr>
            <w:r>
              <w:rPr>
                <w:rFonts w:ascii="Times New Roman" w:eastAsia="SimSun"/>
                <w:b w:val="false"/>
                <w:bCs w:val="false"/>
                <w:color w:val="000000"/>
                <w:sz w:val="17"/>
                <w:szCs w:val="17"/>
              </w:rPr>
              <w:t xml:space="preserve">有</w:t>
            </w:r>
          </w:p>
        </w:tc>
        <w:tc>
          <w:tcPr>
            <w:tcW w:type="pct" w:w="1450"/>
            <w:shd w:fill="F2F6F5" w:val="clear"/>
            <w:tcMar>
              <w:top w:type="dxa" w:w="70"/>
              <w:left w:type="dxa" w:w="100"/>
              <w:bottom w:type="dxa" w:w="70"/>
              <w:right w:type="dxa" w:w="100"/>
            </w:tcMar>
          </w:tcPr>
          <w:p>
            <w:pPr>
              <w:spacing w:line="264"/>
              <w:jc w:val="left"/>
            </w:pPr>
            <w:r>
              <w:rPr>
                <w:rFonts w:ascii="Times New Roman" w:eastAsia="SimSun"/>
                <w:b w:val="false"/>
                <w:bCs w:val="false"/>
                <w:color w:val="000000"/>
                <w:sz w:val="17"/>
                <w:szCs w:val="17"/>
              </w:rPr>
              <w:t xml:space="preserve">佐证 TS 非保序；非预算研究</w:t>
            </w:r>
          </w:p>
        </w:tc>
      </w:tr>
      <w:tr>
        <w:trPr>
          <w:cantSplit/>
        </w:trPr>
        <w:tc>
          <w:tcPr>
            <w:tcW w:type="pct" w:w="800"/>
            <w:tcMar>
              <w:top w:type="dxa" w:w="70"/>
              <w:left w:type="dxa" w:w="100"/>
              <w:bottom w:type="dxa" w:w="70"/>
              <w:right w:type="dxa" w:w="100"/>
            </w:tcMar>
          </w:tcPr>
          <w:p>
            <w:pPr>
              <w:spacing w:line="264"/>
              <w:jc w:val="left"/>
            </w:pPr>
            <w:r>
              <w:rPr>
                <w:rFonts w:ascii="Times New Roman" w:eastAsia="SimSun"/>
                <w:b w:val="false"/>
                <w:bCs w:val="false"/>
                <w:color w:val="000000"/>
                <w:sz w:val="17"/>
                <w:szCs w:val="17"/>
              </w:rPr>
              <w:t xml:space="preserve">Ajroldi et al. 2025 (ICML)</w:t>
            </w:r>
          </w:p>
        </w:tc>
        <w:tc>
          <w:tcPr>
            <w:tcW w:type="pct" w:w="750"/>
            <w:tcMar>
              <w:top w:type="dxa" w:w="70"/>
              <w:left w:type="dxa" w:w="100"/>
              <w:bottom w:type="dxa" w:w="70"/>
              <w:right w:type="dxa" w:w="100"/>
            </w:tcMar>
          </w:tcPr>
          <w:p>
            <w:pPr>
              <w:spacing w:line="264"/>
              <w:jc w:val="left"/>
            </w:pPr>
            <w:r>
              <w:rPr>
                <w:rFonts w:ascii="Times New Roman" w:eastAsia="SimSun"/>
                <w:b w:val="false"/>
                <w:bCs w:val="false"/>
                <w:color w:val="000000"/>
                <w:sz w:val="17"/>
                <w:szCs w:val="17"/>
              </w:rPr>
              <w:t xml:space="preserve">何时平均权重</w:t>
            </w:r>
          </w:p>
        </w:tc>
        <w:tc>
          <w:tcPr>
            <w:tcW w:type="pct" w:w="550"/>
            <w:tcMar>
              <w:top w:type="dxa" w:w="70"/>
              <w:left w:type="dxa" w:w="100"/>
              <w:bottom w:type="dxa" w:w="70"/>
              <w:right w:type="dxa" w:w="100"/>
            </w:tcMar>
          </w:tcPr>
          <w:p>
            <w:pPr>
              <w:spacing w:line="264"/>
              <w:jc w:val="left"/>
            </w:pPr>
            <w:r>
              <w:rPr>
                <w:rFonts w:ascii="Times New Roman" w:eastAsia="SimSun"/>
                <w:b w:val="false"/>
                <w:bCs w:val="false"/>
                <w:color w:val="000000"/>
                <w:sz w:val="17"/>
                <w:szCs w:val="17"/>
              </w:rPr>
              <w:t xml:space="preserve">WA 变体基准</w:t>
            </w:r>
          </w:p>
        </w:tc>
        <w:tc>
          <w:tcPr>
            <w:tcW w:type="pct" w:w="550"/>
            <w:tcMar>
              <w:top w:type="dxa" w:w="70"/>
              <w:left w:type="dxa" w:w="100"/>
              <w:bottom w:type="dxa" w:w="70"/>
              <w:right w:type="dxa" w:w="100"/>
            </w:tcMar>
          </w:tcPr>
          <w:p>
            <w:pPr>
              <w:spacing w:line="264"/>
              <w:jc w:val="left"/>
            </w:pPr>
            <w:r>
              <w:rPr>
                <w:rFonts w:ascii="Times New Roman" w:eastAsia="SimSun"/>
                <w:b w:val="false"/>
                <w:bCs w:val="false"/>
                <w:color w:val="000000"/>
                <w:sz w:val="17"/>
                <w:szCs w:val="17"/>
              </w:rPr>
              <w:t xml:space="preserve">训练时间（加速）</w:t>
            </w:r>
          </w:p>
        </w:tc>
        <w:tc>
          <w:tcPr>
            <w:tcW w:type="pct" w:w="450"/>
            <w:tcMar>
              <w:top w:type="dxa" w:w="70"/>
              <w:left w:type="dxa" w:w="100"/>
              <w:bottom w:type="dxa" w:w="70"/>
              <w:right w:type="dxa" w:w="100"/>
            </w:tcMar>
          </w:tcPr>
          <w:p>
            <w:pPr>
              <w:spacing w:line="264"/>
              <w:jc w:val="left"/>
            </w:pPr>
            <w:r>
              <w:rPr>
                <w:rFonts w:ascii="Times New Roman" w:eastAsia="SimSun"/>
                <w:b w:val="false"/>
                <w:bCs w:val="false"/>
                <w:color w:val="000000"/>
                <w:sz w:val="17"/>
                <w:szCs w:val="17"/>
              </w:rPr>
              <w:t xml:space="preserve">无（精度）</w:t>
            </w:r>
          </w:p>
        </w:tc>
        <w:tc>
          <w:tcPr>
            <w:tcW w:type="pct" w:w="450"/>
            <w:tcMar>
              <w:top w:type="dxa" w:w="70"/>
              <w:left w:type="dxa" w:w="100"/>
              <w:bottom w:type="dxa" w:w="70"/>
              <w:right w:type="dxa" w:w="100"/>
            </w:tcMar>
          </w:tcPr>
          <w:p>
            <w:pPr>
              <w:spacing w:line="264"/>
              <w:jc w:val="left"/>
            </w:pPr>
            <w:r>
              <w:rPr>
                <w:rFonts w:ascii="Times New Roman" w:eastAsia="SimSun"/>
                <w:b w:val="false"/>
                <w:bCs w:val="false"/>
                <w:color w:val="000000"/>
                <w:sz w:val="17"/>
                <w:szCs w:val="17"/>
              </w:rPr>
              <w:t xml:space="preserve">无</w:t>
            </w:r>
          </w:p>
        </w:tc>
        <w:tc>
          <w:tcPr>
            <w:tcW w:type="pct" w:w="1450"/>
            <w:tcMar>
              <w:top w:type="dxa" w:w="70"/>
              <w:left w:type="dxa" w:w="100"/>
              <w:bottom w:type="dxa" w:w="70"/>
              <w:right w:type="dxa" w:w="100"/>
            </w:tcMar>
          </w:tcPr>
          <w:p>
            <w:pPr>
              <w:spacing w:line="264"/>
              <w:jc w:val="left"/>
            </w:pPr>
            <w:r>
              <w:rPr>
                <w:rFonts w:ascii="Times New Roman" w:eastAsia="SimSun"/>
                <w:b w:val="false"/>
                <w:bCs w:val="false"/>
                <w:color w:val="000000"/>
                <w:sz w:val="17"/>
                <w:szCs w:val="17"/>
              </w:rPr>
              <w:t xml:space="preserve">WA 基准；加速/泛化端点，无不确定性质量</w:t>
            </w:r>
          </w:p>
        </w:tc>
      </w:tr>
      <w:tr>
        <w:trPr>
          <w:cantSplit/>
        </w:trPr>
        <w:tc>
          <w:tcPr>
            <w:tcW w:type="pct" w:w="800"/>
            <w:shd w:fill="F2F6F5" w:val="clear"/>
            <w:tcMar>
              <w:top w:type="dxa" w:w="70"/>
              <w:left w:type="dxa" w:w="100"/>
              <w:bottom w:type="dxa" w:w="70"/>
              <w:right w:type="dxa" w:w="100"/>
            </w:tcMar>
          </w:tcPr>
          <w:p>
            <w:pPr>
              <w:spacing w:line="264"/>
              <w:jc w:val="left"/>
            </w:pPr>
            <w:r>
              <w:rPr>
                <w:rFonts w:ascii="Times New Roman" w:eastAsia="SimSun"/>
                <w:b w:val="false"/>
                <w:bCs w:val="false"/>
                <w:color w:val="000000"/>
                <w:sz w:val="17"/>
                <w:szCs w:val="17"/>
              </w:rPr>
              <w:t xml:space="preserve">The cost of ensembling 2025 (arXiv)</w:t>
            </w:r>
          </w:p>
        </w:tc>
        <w:tc>
          <w:tcPr>
            <w:tcW w:type="pct" w:w="750"/>
            <w:shd w:fill="F2F6F5" w:val="clear"/>
            <w:tcMar>
              <w:top w:type="dxa" w:w="70"/>
              <w:left w:type="dxa" w:w="100"/>
              <w:bottom w:type="dxa" w:w="70"/>
              <w:right w:type="dxa" w:w="100"/>
            </w:tcMar>
          </w:tcPr>
          <w:p>
            <w:pPr>
              <w:spacing w:line="264"/>
              <w:jc w:val="left"/>
            </w:pPr>
            <w:r>
              <w:rPr>
                <w:rFonts w:ascii="Times New Roman" w:eastAsia="SimSun"/>
                <w:b w:val="false"/>
                <w:bCs w:val="false"/>
                <w:color w:val="000000"/>
                <w:sz w:val="17"/>
                <w:szCs w:val="17"/>
              </w:rPr>
              <w:t xml:space="preserve">集成成本收益权衡</w:t>
            </w:r>
          </w:p>
        </w:tc>
        <w:tc>
          <w:tcPr>
            <w:tcW w:type="pct" w:w="550"/>
            <w:shd w:fill="F2F6F5" w:val="clear"/>
            <w:tcMar>
              <w:top w:type="dxa" w:w="70"/>
              <w:left w:type="dxa" w:w="100"/>
              <w:bottom w:type="dxa" w:w="70"/>
              <w:right w:type="dxa" w:w="100"/>
            </w:tcMar>
          </w:tcPr>
          <w:p>
            <w:pPr>
              <w:spacing w:line="264"/>
              <w:jc w:val="left"/>
            </w:pPr>
            <w:r>
              <w:rPr>
                <w:rFonts w:ascii="Times New Roman" w:eastAsia="SimSun"/>
                <w:b w:val="false"/>
                <w:bCs w:val="false"/>
                <w:color w:val="000000"/>
                <w:sz w:val="17"/>
                <w:szCs w:val="17"/>
              </w:rPr>
              <w:t xml:space="preserve">零售预测集成</w:t>
            </w:r>
          </w:p>
        </w:tc>
        <w:tc>
          <w:tcPr>
            <w:tcW w:type="pct" w:w="550"/>
            <w:shd w:fill="F2F6F5" w:val="clear"/>
            <w:tcMar>
              <w:top w:type="dxa" w:w="70"/>
              <w:left w:type="dxa" w:w="100"/>
              <w:bottom w:type="dxa" w:w="70"/>
              <w:right w:type="dxa" w:w="100"/>
            </w:tcMar>
          </w:tcPr>
          <w:p>
            <w:pPr>
              <w:spacing w:line="264"/>
              <w:jc w:val="left"/>
            </w:pPr>
            <w:r>
              <w:rPr>
                <w:rFonts w:ascii="Times New Roman" w:eastAsia="SimSun"/>
                <w:b w:val="false"/>
                <w:bCs w:val="false"/>
                <w:color w:val="000000"/>
                <w:sz w:val="17"/>
                <w:szCs w:val="17"/>
              </w:rPr>
              <w:t xml:space="preserve">部分（成员 2-5）</w:t>
            </w:r>
          </w:p>
        </w:tc>
        <w:tc>
          <w:tcPr>
            <w:tcW w:type="pct" w:w="450"/>
            <w:shd w:fill="F2F6F5" w:val="clear"/>
            <w:tcMar>
              <w:top w:type="dxa" w:w="70"/>
              <w:left w:type="dxa" w:w="100"/>
              <w:bottom w:type="dxa" w:w="70"/>
              <w:right w:type="dxa" w:w="100"/>
            </w:tcMar>
          </w:tcPr>
          <w:p>
            <w:pPr>
              <w:spacing w:line="264"/>
              <w:jc w:val="left"/>
            </w:pPr>
            <w:r>
              <w:rPr>
                <w:rFonts w:ascii="Times New Roman" w:eastAsia="SimSun"/>
                <w:b w:val="false"/>
                <w:bCs w:val="false"/>
                <w:color w:val="000000"/>
                <w:sz w:val="17"/>
                <w:szCs w:val="17"/>
              </w:rPr>
              <w:t xml:space="preserve">无（分位数损失）</w:t>
            </w:r>
          </w:p>
        </w:tc>
        <w:tc>
          <w:tcPr>
            <w:tcW w:type="pct" w:w="450"/>
            <w:shd w:fill="F2F6F5" w:val="clear"/>
            <w:tcMar>
              <w:top w:type="dxa" w:w="70"/>
              <w:left w:type="dxa" w:w="100"/>
              <w:bottom w:type="dxa" w:w="70"/>
              <w:right w:type="dxa" w:w="100"/>
            </w:tcMar>
          </w:tcPr>
          <w:p>
            <w:pPr>
              <w:spacing w:line="264"/>
              <w:jc w:val="left"/>
            </w:pPr>
            <w:r>
              <w:rPr>
                <w:rFonts w:ascii="Times New Roman" w:eastAsia="SimSun"/>
                <w:b w:val="false"/>
                <w:bCs w:val="false"/>
                <w:color w:val="000000"/>
                <w:sz w:val="17"/>
                <w:szCs w:val="17"/>
              </w:rPr>
              <w:t xml:space="preserve">无</w:t>
            </w:r>
          </w:p>
        </w:tc>
        <w:tc>
          <w:tcPr>
            <w:tcW w:type="pct" w:w="1450"/>
            <w:shd w:fill="F2F6F5" w:val="clear"/>
            <w:tcMar>
              <w:top w:type="dxa" w:w="70"/>
              <w:left w:type="dxa" w:w="100"/>
              <w:bottom w:type="dxa" w:w="70"/>
              <w:right w:type="dxa" w:w="100"/>
            </w:tcMar>
          </w:tcPr>
          <w:p>
            <w:pPr>
              <w:spacing w:line="264"/>
              <w:jc w:val="left"/>
            </w:pPr>
            <w:r>
              <w:rPr>
                <w:rFonts w:ascii="Times New Roman" w:eastAsia="SimSun"/>
                <w:b w:val="false"/>
                <w:bCs w:val="false"/>
                <w:color w:val="000000"/>
                <w:sz w:val="17"/>
                <w:szCs w:val="17"/>
              </w:rPr>
              <w:t xml:space="preserve">应用域规律：小集成(2-3)常已足；无校准/OOD（本轮新核验）</w:t>
            </w:r>
          </w:p>
        </w:tc>
      </w:tr>
    </w:tbl>
    <w:p>
      <w:pPr>
        <w:pStyle w:val="Heading2"/>
        <w:spacing w:after="120" w:before="260" w:line="350" w:lineRule="atLeast"/>
      </w:pPr>
      <w:bookmarkStart w:name="_Toc11" w:id="11"/>
      <w:r>
        <w:rPr>
          <w:rFonts w:ascii="Times New Roman" w:eastAsia="SimHei"/>
          <w:b/>
          <w:bCs/>
          <w:color w:val="0B1C2C"/>
          <w:sz w:val="28"/>
          <w:szCs w:val="28"/>
        </w:rPr>
        <w:t xml:space="preserve">2.3 差异定性：本文每个元素属于哪一类</w:t>
      </w:r>
      <w:bookmarkEnd w:id="11"/>
    </w:p>
    <w:p>
      <w:pPr>
        <w:keepNext w:val="false"/>
        <w:spacing w:after="80" w:line="312"/>
        <w:ind w:firstLine="480"/>
        <w:jc w:val="both"/>
      </w:pPr>
      <w:r>
        <w:rPr>
          <w:rFonts w:ascii="Times New Roman" w:eastAsia="SimSun"/>
          <w:b w:val="false"/>
          <w:bCs w:val="false"/>
          <w:color w:val="000000"/>
          <w:sz w:val="24"/>
          <w:szCs w:val="24"/>
        </w:rPr>
        <w:t xml:space="preserve">按用户给定的五类判定（纯粹的实验设置变化、更严格的实验控制、新的经验发现、新的可检验规律、新的方法或理论贡献），对本文各元素逐一判定如下。这一分级是后续方案设计与停止规则的共同基础。</w:t>
      </w:r>
    </w:p>
    <w:p>
      <w:pPr>
        <w:keepNext/>
        <w:spacing w:after="100" w:before="160" w:line="280"/>
        <w:jc w:val="center"/>
      </w:pPr>
      <w:r>
        <w:rPr>
          <w:rFonts w:ascii="Times New Roman" w:eastAsia="SimHei"/>
          <w:b/>
          <w:bCs/>
          <w:color w:val="404040"/>
          <w:sz w:val="21"/>
          <w:szCs w:val="21"/>
        </w:rPr>
        <w:t xml:space="preserve">表 2-2 本文各元素的原创性分级</w:t>
      </w:r>
    </w:p>
    <w:tbl>
      <w:tblPr>
        <w:tblW w:type="pct" w:w="5000"/>
        <w:tblBorders>
          <w:top w:val="single" w:color="529286" w:sz="6"/>
          <w:left w:val="none" w:color="FFFFFF" w:sz="0"/>
          <w:bottom w:val="single" w:color="529286" w:sz="6"/>
          <w:right w:val="none" w:color="FFFFFF" w:sz="0"/>
          <w:insideH w:val="single" w:color="C8D4D0" w:sz="2"/>
          <w:insideV w:val="none" w:color="FFFFFF" w:sz="0"/>
        </w:tblBorders>
      </w:tblPr>
      <w:tblGrid>
        <w:gridCol w:w="2285"/>
        <w:gridCol w:w="2109"/>
        <w:gridCol w:w="1582"/>
        <w:gridCol w:w="2812"/>
      </w:tblGrid>
      <w:tr>
        <w:trPr>
          <w:cantSplit/>
          <w:tblHeader/>
        </w:trPr>
        <w:tc>
          <w:tcPr>
            <w:tcW w:type="pct" w:w="1300"/>
            <w:shd w:fill="529286" w:val="clear"/>
            <w:tcMar>
              <w:top w:type="dxa" w:w="70"/>
              <w:left w:type="dxa" w:w="100"/>
              <w:bottom w:type="dxa" w:w="70"/>
              <w:right w:type="dxa" w:w="100"/>
            </w:tcMar>
          </w:tcPr>
          <w:p>
            <w:pPr>
              <w:spacing w:line="260"/>
              <w:jc w:val="center"/>
            </w:pPr>
            <w:r>
              <w:rPr>
                <w:rFonts w:ascii="Times New Roman" w:eastAsia="SimHei"/>
                <w:b/>
                <w:bCs/>
                <w:color w:val="FFFFFF"/>
                <w:sz w:val="19"/>
                <w:szCs w:val="19"/>
              </w:rPr>
              <w:t xml:space="preserve">论文元素</w:t>
            </w:r>
          </w:p>
        </w:tc>
        <w:tc>
          <w:tcPr>
            <w:tcW w:type="pct" w:w="1200"/>
            <w:shd w:fill="529286" w:val="clear"/>
            <w:tcMar>
              <w:top w:type="dxa" w:w="70"/>
              <w:left w:type="dxa" w:w="100"/>
              <w:bottom w:type="dxa" w:w="70"/>
              <w:right w:type="dxa" w:w="100"/>
            </w:tcMar>
          </w:tcPr>
          <w:p>
            <w:pPr>
              <w:spacing w:line="260"/>
              <w:jc w:val="center"/>
            </w:pPr>
            <w:r>
              <w:rPr>
                <w:rFonts w:ascii="Times New Roman" w:eastAsia="SimHei"/>
                <w:b/>
                <w:bCs/>
                <w:color w:val="FFFFFF"/>
                <w:sz w:val="19"/>
                <w:szCs w:val="19"/>
              </w:rPr>
              <w:t xml:space="preserve">最接近先例</w:t>
            </w:r>
          </w:p>
        </w:tc>
        <w:tc>
          <w:tcPr>
            <w:tcW w:type="pct" w:w="900"/>
            <w:shd w:fill="529286" w:val="clear"/>
            <w:tcMar>
              <w:top w:type="dxa" w:w="70"/>
              <w:left w:type="dxa" w:w="100"/>
              <w:bottom w:type="dxa" w:w="70"/>
              <w:right w:type="dxa" w:w="100"/>
            </w:tcMar>
          </w:tcPr>
          <w:p>
            <w:pPr>
              <w:spacing w:line="260"/>
              <w:jc w:val="center"/>
            </w:pPr>
            <w:r>
              <w:rPr>
                <w:rFonts w:ascii="Times New Roman" w:eastAsia="SimHei"/>
                <w:b/>
                <w:bCs/>
                <w:color w:val="FFFFFF"/>
                <w:sz w:val="19"/>
                <w:szCs w:val="19"/>
              </w:rPr>
              <w:t xml:space="preserve">判定</w:t>
            </w:r>
          </w:p>
        </w:tc>
        <w:tc>
          <w:tcPr>
            <w:tcW w:type="pct" w:w="1600"/>
            <w:shd w:fill="529286" w:val="clear"/>
            <w:tcMar>
              <w:top w:type="dxa" w:w="70"/>
              <w:left w:type="dxa" w:w="100"/>
              <w:bottom w:type="dxa" w:w="70"/>
              <w:right w:type="dxa" w:w="100"/>
            </w:tcMar>
          </w:tcPr>
          <w:p>
            <w:pPr>
              <w:spacing w:line="260"/>
              <w:jc w:val="center"/>
            </w:pPr>
            <w:r>
              <w:rPr>
                <w:rFonts w:ascii="Times New Roman" w:eastAsia="SimHei"/>
                <w:b/>
                <w:bCs/>
                <w:color w:val="FFFFFF"/>
                <w:sz w:val="19"/>
                <w:szCs w:val="19"/>
              </w:rPr>
              <w:t xml:space="preserve">说明</w:t>
            </w:r>
          </w:p>
        </w:tc>
      </w:tr>
      <w:tr>
        <w:trPr>
          <w:cantSplit/>
        </w:trPr>
        <w:tc>
          <w:tcPr>
            <w:tcW w:type="pct" w:w="1300"/>
            <w:tcMar>
              <w:top w:type="dxa" w:w="70"/>
              <w:left w:type="dxa" w:w="100"/>
              <w:bottom w:type="dxa" w:w="70"/>
              <w:right w:type="dxa" w:w="100"/>
            </w:tcMar>
          </w:tcPr>
          <w:p>
            <w:pPr>
              <w:spacing w:line="264"/>
              <w:jc w:val="left"/>
            </w:pPr>
            <w:r>
              <w:rPr>
                <w:rFonts w:ascii="Times New Roman" w:eastAsia="SimSun"/>
                <w:b w:val="false"/>
                <w:bCs w:val="false"/>
                <w:color w:val="000000"/>
                <w:sz w:val="19"/>
                <w:szCs w:val="19"/>
              </w:rPr>
              <w:t xml:space="preserve">四路预算匹配 + 位级检查点共享设计</w:t>
            </w:r>
          </w:p>
        </w:tc>
        <w:tc>
          <w:tcPr>
            <w:tcW w:type="pct" w:w="1200"/>
            <w:tcMar>
              <w:top w:type="dxa" w:w="70"/>
              <w:left w:type="dxa" w:w="100"/>
              <w:bottom w:type="dxa" w:w="70"/>
              <w:right w:type="dxa" w:w="100"/>
            </w:tcMar>
          </w:tcPr>
          <w:p>
            <w:pPr>
              <w:spacing w:line="264"/>
              <w:jc w:val="left"/>
            </w:pPr>
            <w:r>
              <w:rPr>
                <w:rFonts w:ascii="Times New Roman" w:eastAsia="SimSun"/>
                <w:b w:val="false"/>
                <w:bCs w:val="false"/>
                <w:color w:val="000000"/>
                <w:sz w:val="19"/>
                <w:szCs w:val="19"/>
              </w:rPr>
              <w:t xml:space="preserve">Ashukha（算力匹配）、Brigato（固定算力）</w:t>
            </w:r>
          </w:p>
        </w:tc>
        <w:tc>
          <w:tcPr>
            <w:tcW w:type="pct" w:w="900"/>
            <w:tcMar>
              <w:top w:type="dxa" w:w="70"/>
              <w:left w:type="dxa" w:w="100"/>
              <w:bottom w:type="dxa" w:w="70"/>
              <w:right w:type="dxa" w:w="100"/>
            </w:tcMar>
          </w:tcPr>
          <w:p>
            <w:pPr>
              <w:spacing w:line="264"/>
              <w:jc w:val="left"/>
            </w:pPr>
            <w:r>
              <w:rPr>
                <w:rFonts w:ascii="Times New Roman" w:eastAsia="SimSun"/>
                <w:b w:val="false"/>
                <w:bCs w:val="false"/>
                <w:color w:val="000000"/>
                <w:sz w:val="19"/>
                <w:szCs w:val="19"/>
              </w:rPr>
              <w:t xml:space="preserve">更严格的实验控制</w:t>
            </w:r>
          </w:p>
        </w:tc>
        <w:tc>
          <w:tcPr>
            <w:tcW w:type="pct" w:w="1600"/>
            <w:tcMar>
              <w:top w:type="dxa" w:w="70"/>
              <w:left w:type="dxa" w:w="100"/>
              <w:bottom w:type="dxa" w:w="70"/>
              <w:right w:type="dxa" w:w="100"/>
            </w:tcMar>
          </w:tcPr>
          <w:p>
            <w:pPr>
              <w:spacing w:line="264"/>
              <w:jc w:val="left"/>
            </w:pPr>
            <w:r>
              <w:rPr>
                <w:rFonts w:ascii="Times New Roman" w:eastAsia="SimSun"/>
                <w:b w:val="false"/>
                <w:bCs w:val="false"/>
                <w:color w:val="000000"/>
                <w:sz w:val="19"/>
                <w:szCs w:val="19"/>
              </w:rPr>
              <w:t xml:space="preserve">设计贡献而非知识贡献；组合在该轴上未见先例</w:t>
            </w:r>
          </w:p>
        </w:tc>
      </w:tr>
      <w:tr>
        <w:trPr>
          <w:cantSplit/>
        </w:trPr>
        <w:tc>
          <w:tcPr>
            <w:tcW w:type="pct" w:w="1300"/>
            <w:shd w:fill="F2F6F5" w:val="clear"/>
            <w:tcMar>
              <w:top w:type="dxa" w:w="70"/>
              <w:left w:type="dxa" w:w="100"/>
              <w:bottom w:type="dxa" w:w="70"/>
              <w:right w:type="dxa" w:w="100"/>
            </w:tcMar>
          </w:tcPr>
          <w:p>
            <w:pPr>
              <w:spacing w:line="264"/>
              <w:jc w:val="left"/>
            </w:pPr>
            <w:r>
              <w:rPr>
                <w:rFonts w:ascii="Times New Roman" w:eastAsia="SimSun"/>
                <w:b w:val="false"/>
                <w:bCs w:val="false"/>
                <w:color w:val="000000"/>
                <w:sz w:val="19"/>
                <w:szCs w:val="19"/>
              </w:rPr>
              <w:t xml:space="preserve">快照集成校准劣势（预算对齐下）</w:t>
            </w:r>
          </w:p>
        </w:tc>
        <w:tc>
          <w:tcPr>
            <w:tcW w:type="pct" w:w="1200"/>
            <w:shd w:fill="F2F6F5" w:val="clear"/>
            <w:tcMar>
              <w:top w:type="dxa" w:w="70"/>
              <w:left w:type="dxa" w:w="100"/>
              <w:bottom w:type="dxa" w:w="70"/>
              <w:right w:type="dxa" w:w="100"/>
            </w:tcMar>
          </w:tcPr>
          <w:p>
            <w:pPr>
              <w:spacing w:line="264"/>
              <w:jc w:val="left"/>
            </w:pPr>
            <w:r>
              <w:rPr>
                <w:rFonts w:ascii="Times New Roman" w:eastAsia="SimSun"/>
                <w:b w:val="false"/>
                <w:bCs w:val="false"/>
                <w:color w:val="000000"/>
                <w:sz w:val="19"/>
                <w:szCs w:val="19"/>
              </w:rPr>
              <w:t xml:space="preserve">Huang 2017 声称精度轴免费午餐</w:t>
            </w:r>
          </w:p>
        </w:tc>
        <w:tc>
          <w:tcPr>
            <w:tcW w:type="pct" w:w="900"/>
            <w:shd w:fill="F2F6F5" w:val="clear"/>
            <w:tcMar>
              <w:top w:type="dxa" w:w="70"/>
              <w:left w:type="dxa" w:w="100"/>
              <w:bottom w:type="dxa" w:w="70"/>
              <w:right w:type="dxa" w:w="100"/>
            </w:tcMar>
          </w:tcPr>
          <w:p>
            <w:pPr>
              <w:spacing w:line="264"/>
              <w:jc w:val="left"/>
            </w:pPr>
            <w:r>
              <w:rPr>
                <w:rFonts w:ascii="Times New Roman" w:eastAsia="SimSun"/>
                <w:b w:val="false"/>
                <w:bCs w:val="false"/>
                <w:color w:val="000000"/>
                <w:sz w:val="19"/>
                <w:szCs w:val="19"/>
              </w:rPr>
              <w:t xml:space="preserve">新的经验发现（边界性）</w:t>
            </w:r>
          </w:p>
        </w:tc>
        <w:tc>
          <w:tcPr>
            <w:tcW w:type="pct" w:w="1600"/>
            <w:shd w:fill="F2F6F5" w:val="clear"/>
            <w:tcMar>
              <w:top w:type="dxa" w:w="70"/>
              <w:left w:type="dxa" w:w="100"/>
              <w:bottom w:type="dxa" w:w="70"/>
              <w:right w:type="dxa" w:w="100"/>
            </w:tcMar>
          </w:tcPr>
          <w:p>
            <w:pPr>
              <w:spacing w:line="264"/>
              <w:jc w:val="left"/>
            </w:pPr>
            <w:r>
              <w:rPr>
                <w:rFonts w:ascii="Times New Roman" w:eastAsia="SimSun"/>
                <w:b w:val="false"/>
                <w:bCs w:val="false"/>
                <w:color w:val="000000"/>
                <w:sz w:val="19"/>
                <w:szCs w:val="19"/>
              </w:rPr>
              <w:t xml:space="preserve">对免费午餐叙事的校准轴修正；单一规模上测得</w:t>
            </w:r>
          </w:p>
        </w:tc>
      </w:tr>
      <w:tr>
        <w:trPr>
          <w:cantSplit/>
        </w:trPr>
        <w:tc>
          <w:tcPr>
            <w:tcW w:type="pct" w:w="1300"/>
            <w:tcMar>
              <w:top w:type="dxa" w:w="70"/>
              <w:left w:type="dxa" w:w="100"/>
              <w:bottom w:type="dxa" w:w="70"/>
              <w:right w:type="dxa" w:w="100"/>
            </w:tcMar>
          </w:tcPr>
          <w:p>
            <w:pPr>
              <w:spacing w:line="264"/>
              <w:jc w:val="left"/>
            </w:pPr>
            <w:r>
              <w:rPr>
                <w:rFonts w:ascii="Times New Roman" w:eastAsia="SimSun"/>
                <w:b w:val="false"/>
                <w:bCs w:val="false"/>
                <w:color w:val="000000"/>
                <w:sz w:val="19"/>
                <w:szCs w:val="19"/>
              </w:rPr>
              <w:t xml:space="preserve">预算放大规律（0.075/0.225/0.332）</w:t>
            </w:r>
          </w:p>
        </w:tc>
        <w:tc>
          <w:tcPr>
            <w:tcW w:type="pct" w:w="1200"/>
            <w:tcMar>
              <w:top w:type="dxa" w:w="70"/>
              <w:left w:type="dxa" w:w="100"/>
              <w:bottom w:type="dxa" w:w="70"/>
              <w:right w:type="dxa" w:w="100"/>
            </w:tcMar>
          </w:tcPr>
          <w:p>
            <w:pPr>
              <w:spacing w:line="264"/>
              <w:jc w:val="left"/>
            </w:pPr>
            <w:r>
              <w:rPr>
                <w:rFonts w:ascii="Times New Roman" w:eastAsia="SimSun"/>
                <w:b w:val="false"/>
                <w:bCs w:val="false"/>
                <w:color w:val="000000"/>
                <w:sz w:val="19"/>
                <w:szCs w:val="19"/>
              </w:rPr>
              <w:t xml:space="preserve">未见直接先例（训练时长-校准关系散见）</w:t>
            </w:r>
          </w:p>
        </w:tc>
        <w:tc>
          <w:tcPr>
            <w:tcW w:type="pct" w:w="900"/>
            <w:tcMar>
              <w:top w:type="dxa" w:w="70"/>
              <w:left w:type="dxa" w:w="100"/>
              <w:bottom w:type="dxa" w:w="70"/>
              <w:right w:type="dxa" w:w="100"/>
            </w:tcMar>
          </w:tcPr>
          <w:p>
            <w:pPr>
              <w:spacing w:line="264"/>
              <w:jc w:val="left"/>
            </w:pPr>
            <w:r>
              <w:rPr>
                <w:rFonts w:ascii="Times New Roman" w:eastAsia="SimSun"/>
                <w:b w:val="false"/>
                <w:bCs w:val="false"/>
                <w:color w:val="000000"/>
                <w:sz w:val="19"/>
                <w:szCs w:val="19"/>
              </w:rPr>
              <w:t xml:space="preserve">新的可检验规律（候选）</w:t>
            </w:r>
          </w:p>
        </w:tc>
        <w:tc>
          <w:tcPr>
            <w:tcW w:type="pct" w:w="1600"/>
            <w:tcMar>
              <w:top w:type="dxa" w:w="70"/>
              <w:left w:type="dxa" w:w="100"/>
              <w:bottom w:type="dxa" w:w="70"/>
              <w:right w:type="dxa" w:w="100"/>
            </w:tcMar>
          </w:tcPr>
          <w:p>
            <w:pPr>
              <w:spacing w:line="264"/>
              <w:jc w:val="left"/>
            </w:pPr>
            <w:r>
              <w:rPr>
                <w:rFonts w:ascii="Times New Roman" w:eastAsia="SimSun"/>
                <w:b w:val="false"/>
                <w:bCs w:val="false"/>
                <w:color w:val="000000"/>
                <w:sz w:val="19"/>
                <w:szCs w:val="19"/>
              </w:rPr>
              <w:t xml:space="preserve">论文最接近规律的增量；仅三预算点、单架构</w:t>
            </w:r>
          </w:p>
        </w:tc>
      </w:tr>
      <w:tr>
        <w:trPr>
          <w:cantSplit/>
        </w:trPr>
        <w:tc>
          <w:tcPr>
            <w:tcW w:type="pct" w:w="1300"/>
            <w:shd w:fill="F2F6F5" w:val="clear"/>
            <w:tcMar>
              <w:top w:type="dxa" w:w="70"/>
              <w:left w:type="dxa" w:w="100"/>
              <w:bottom w:type="dxa" w:w="70"/>
              <w:right w:type="dxa" w:w="100"/>
            </w:tcMar>
          </w:tcPr>
          <w:p>
            <w:pPr>
              <w:spacing w:line="264"/>
              <w:jc w:val="left"/>
            </w:pPr>
            <w:r>
              <w:rPr>
                <w:rFonts w:ascii="Times New Roman" w:eastAsia="SimSun"/>
                <w:b w:val="false"/>
                <w:bCs w:val="false"/>
                <w:color w:val="000000"/>
                <w:sz w:val="19"/>
                <w:szCs w:val="19"/>
              </w:rPr>
              <w:t xml:space="preserve">MNIST 饱和边界条件</w:t>
            </w:r>
          </w:p>
        </w:tc>
        <w:tc>
          <w:tcPr>
            <w:tcW w:type="pct" w:w="1200"/>
            <w:shd w:fill="F2F6F5" w:val="clear"/>
            <w:tcMar>
              <w:top w:type="dxa" w:w="70"/>
              <w:left w:type="dxa" w:w="100"/>
              <w:bottom w:type="dxa" w:w="70"/>
              <w:right w:type="dxa" w:w="100"/>
            </w:tcMar>
          </w:tcPr>
          <w:p>
            <w:pPr>
              <w:spacing w:line="264"/>
              <w:jc w:val="left"/>
            </w:pPr>
            <w:r>
              <w:rPr>
                <w:rFonts w:ascii="Times New Roman" w:eastAsia="SimSun"/>
                <w:b w:val="false"/>
                <w:bCs w:val="false"/>
                <w:color w:val="000000"/>
                <w:sz w:val="19"/>
                <w:szCs w:val="19"/>
              </w:rPr>
              <w:t xml:space="preserve">定性共识（简单任务集成收益小）</w:t>
            </w:r>
          </w:p>
        </w:tc>
        <w:tc>
          <w:tcPr>
            <w:tcW w:type="pct" w:w="900"/>
            <w:shd w:fill="F2F6F5" w:val="clear"/>
            <w:tcMar>
              <w:top w:type="dxa" w:w="70"/>
              <w:left w:type="dxa" w:w="100"/>
              <w:bottom w:type="dxa" w:w="70"/>
              <w:right w:type="dxa" w:w="100"/>
            </w:tcMar>
          </w:tcPr>
          <w:p>
            <w:pPr>
              <w:spacing w:line="264"/>
              <w:jc w:val="left"/>
            </w:pPr>
            <w:r>
              <w:rPr>
                <w:rFonts w:ascii="Times New Roman" w:eastAsia="SimSun"/>
                <w:b w:val="false"/>
                <w:bCs w:val="false"/>
                <w:color w:val="000000"/>
                <w:sz w:val="19"/>
                <w:szCs w:val="19"/>
              </w:rPr>
              <w:t xml:space="preserve">新的边界条件</w:t>
            </w:r>
          </w:p>
        </w:tc>
        <w:tc>
          <w:tcPr>
            <w:tcW w:type="pct" w:w="1600"/>
            <w:shd w:fill="F2F6F5" w:val="clear"/>
            <w:tcMar>
              <w:top w:type="dxa" w:w="70"/>
              <w:left w:type="dxa" w:w="100"/>
              <w:bottom w:type="dxa" w:w="70"/>
              <w:right w:type="dxa" w:w="100"/>
            </w:tcMar>
          </w:tcPr>
          <w:p>
            <w:pPr>
              <w:spacing w:line="264"/>
              <w:jc w:val="left"/>
            </w:pPr>
            <w:r>
              <w:rPr>
                <w:rFonts w:ascii="Times New Roman" w:eastAsia="SimSun"/>
                <w:b w:val="false"/>
                <w:bCs w:val="false"/>
                <w:color w:val="000000"/>
                <w:sz w:val="19"/>
                <w:szCs w:val="19"/>
              </w:rPr>
              <w:t xml:space="preserve">有信息量但可预期</w:t>
            </w:r>
          </w:p>
        </w:tc>
      </w:tr>
      <w:tr>
        <w:trPr>
          <w:cantSplit/>
        </w:trPr>
        <w:tc>
          <w:tcPr>
            <w:tcW w:type="pct" w:w="1300"/>
            <w:tcMar>
              <w:top w:type="dxa" w:w="70"/>
              <w:left w:type="dxa" w:w="100"/>
              <w:bottom w:type="dxa" w:w="70"/>
              <w:right w:type="dxa" w:w="100"/>
            </w:tcMar>
          </w:tcPr>
          <w:p>
            <w:pPr>
              <w:spacing w:line="264"/>
              <w:jc w:val="left"/>
            </w:pPr>
            <w:r>
              <w:rPr>
                <w:rFonts w:ascii="Times New Roman" w:eastAsia="SimSun"/>
                <w:b w:val="false"/>
                <w:bCs w:val="false"/>
                <w:color w:val="000000"/>
                <w:sz w:val="19"/>
                <w:szCs w:val="19"/>
              </w:rPr>
              <w:t xml:space="preserve">TS 压缩不关闭差距</w:t>
            </w:r>
          </w:p>
        </w:tc>
        <w:tc>
          <w:tcPr>
            <w:tcW w:type="pct" w:w="1200"/>
            <w:tcMar>
              <w:top w:type="dxa" w:w="70"/>
              <w:left w:type="dxa" w:w="100"/>
              <w:bottom w:type="dxa" w:w="70"/>
              <w:right w:type="dxa" w:w="100"/>
            </w:tcMar>
          </w:tcPr>
          <w:p>
            <w:pPr>
              <w:spacing w:line="264"/>
              <w:jc w:val="left"/>
            </w:pPr>
            <w:r>
              <w:rPr>
                <w:rFonts w:ascii="Times New Roman" w:eastAsia="SimSun"/>
                <w:b w:val="false"/>
                <w:bCs w:val="false"/>
                <w:color w:val="000000"/>
                <w:sz w:val="19"/>
                <w:szCs w:val="19"/>
              </w:rPr>
              <w:t xml:space="preserve">Ashukha 2020、Zhang 2020</w:t>
            </w:r>
          </w:p>
        </w:tc>
        <w:tc>
          <w:tcPr>
            <w:tcW w:type="pct" w:w="900"/>
            <w:tcMar>
              <w:top w:type="dxa" w:w="70"/>
              <w:left w:type="dxa" w:w="100"/>
              <w:bottom w:type="dxa" w:w="70"/>
              <w:right w:type="dxa" w:w="100"/>
            </w:tcMar>
          </w:tcPr>
          <w:p>
            <w:pPr>
              <w:spacing w:line="264"/>
              <w:jc w:val="left"/>
            </w:pPr>
            <w:r>
              <w:rPr>
                <w:rFonts w:ascii="Times New Roman" w:eastAsia="SimSun"/>
                <w:b w:val="false"/>
                <w:bCs w:val="false"/>
                <w:color w:val="000000"/>
                <w:sz w:val="19"/>
                <w:szCs w:val="19"/>
              </w:rPr>
              <w:t xml:space="preserve">确认已知</w:t>
            </w:r>
          </w:p>
        </w:tc>
        <w:tc>
          <w:tcPr>
            <w:tcW w:type="pct" w:w="1600"/>
            <w:tcMar>
              <w:top w:type="dxa" w:w="70"/>
              <w:left w:type="dxa" w:w="100"/>
              <w:bottom w:type="dxa" w:w="70"/>
              <w:right w:type="dxa" w:w="100"/>
            </w:tcMar>
          </w:tcPr>
          <w:p>
            <w:pPr>
              <w:spacing w:line="264"/>
              <w:jc w:val="left"/>
            </w:pPr>
            <w:r>
              <w:rPr>
                <w:rFonts w:ascii="Times New Roman" w:eastAsia="SimSun"/>
                <w:b w:val="false"/>
                <w:bCs w:val="false"/>
                <w:color w:val="000000"/>
                <w:sz w:val="19"/>
                <w:szCs w:val="19"/>
              </w:rPr>
              <w:t xml:space="preserve">作为稳健性检查有价值，非增量</w:t>
            </w:r>
          </w:p>
        </w:tc>
      </w:tr>
      <w:tr>
        <w:trPr>
          <w:cantSplit/>
        </w:trPr>
        <w:tc>
          <w:tcPr>
            <w:tcW w:type="pct" w:w="1300"/>
            <w:shd w:fill="F2F6F5" w:val="clear"/>
            <w:tcMar>
              <w:top w:type="dxa" w:w="70"/>
              <w:left w:type="dxa" w:w="100"/>
              <w:bottom w:type="dxa" w:w="70"/>
              <w:right w:type="dxa" w:w="100"/>
            </w:tcMar>
          </w:tcPr>
          <w:p>
            <w:pPr>
              <w:spacing w:line="264"/>
              <w:jc w:val="left"/>
            </w:pPr>
            <w:r>
              <w:rPr>
                <w:rFonts w:ascii="Times New Roman" w:eastAsia="SimSun"/>
                <w:b w:val="false"/>
                <w:bCs w:val="false"/>
                <w:color w:val="000000"/>
                <w:sz w:val="19"/>
                <w:szCs w:val="19"/>
              </w:rPr>
              <w:t xml:space="preserve">OOD：预测平均稳、权重平均任务依赖</w:t>
            </w:r>
          </w:p>
        </w:tc>
        <w:tc>
          <w:tcPr>
            <w:tcW w:type="pct" w:w="1200"/>
            <w:shd w:fill="F2F6F5" w:val="clear"/>
            <w:tcMar>
              <w:top w:type="dxa" w:w="70"/>
              <w:left w:type="dxa" w:w="100"/>
              <w:bottom w:type="dxa" w:w="70"/>
              <w:right w:type="dxa" w:w="100"/>
            </w:tcMar>
          </w:tcPr>
          <w:p>
            <w:pPr>
              <w:spacing w:line="264"/>
              <w:jc w:val="left"/>
            </w:pPr>
            <w:r>
              <w:rPr>
                <w:rFonts w:ascii="Times New Roman" w:eastAsia="SimSun"/>
                <w:b w:val="false"/>
                <w:bCs w:val="false"/>
                <w:color w:val="000000"/>
                <w:sz w:val="19"/>
                <w:szCs w:val="19"/>
              </w:rPr>
              <w:t xml:space="preserve">Ovadia 2019 + DiWA 2022</w:t>
            </w:r>
          </w:p>
        </w:tc>
        <w:tc>
          <w:tcPr>
            <w:tcW w:type="pct" w:w="900"/>
            <w:shd w:fill="F2F6F5" w:val="clear"/>
            <w:tcMar>
              <w:top w:type="dxa" w:w="70"/>
              <w:left w:type="dxa" w:w="100"/>
              <w:bottom w:type="dxa" w:w="70"/>
              <w:right w:type="dxa" w:w="100"/>
            </w:tcMar>
          </w:tcPr>
          <w:p>
            <w:pPr>
              <w:spacing w:line="264"/>
              <w:jc w:val="left"/>
            </w:pPr>
            <w:r>
              <w:rPr>
                <w:rFonts w:ascii="Times New Roman" w:eastAsia="SimSun"/>
                <w:b w:val="false"/>
                <w:bCs w:val="false"/>
                <w:color w:val="000000"/>
                <w:sz w:val="19"/>
                <w:szCs w:val="19"/>
              </w:rPr>
              <w:t xml:space="preserve">部分新的组合</w:t>
            </w:r>
          </w:p>
        </w:tc>
        <w:tc>
          <w:tcPr>
            <w:tcW w:type="pct" w:w="1600"/>
            <w:shd w:fill="F2F6F5" w:val="clear"/>
            <w:tcMar>
              <w:top w:type="dxa" w:w="70"/>
              <w:left w:type="dxa" w:w="100"/>
              <w:bottom w:type="dxa" w:w="70"/>
              <w:right w:type="dxa" w:w="100"/>
            </w:tcMar>
          </w:tcPr>
          <w:p>
            <w:pPr>
              <w:spacing w:line="264"/>
              <w:jc w:val="left"/>
            </w:pPr>
            <w:r>
              <w:rPr>
                <w:rFonts w:ascii="Times New Roman" w:eastAsia="SimSun"/>
                <w:b w:val="false"/>
                <w:bCs w:val="false"/>
                <w:color w:val="000000"/>
                <w:sz w:val="19"/>
                <w:szCs w:val="19"/>
              </w:rPr>
              <w:t xml:space="preserve">检查点配对下的端点组合是新的，组件结论已知</w:t>
            </w:r>
          </w:p>
        </w:tc>
      </w:tr>
      <w:tr>
        <w:trPr>
          <w:cantSplit/>
        </w:trPr>
        <w:tc>
          <w:tcPr>
            <w:tcW w:type="pct" w:w="1300"/>
            <w:tcMar>
              <w:top w:type="dxa" w:w="70"/>
              <w:left w:type="dxa" w:w="100"/>
              <w:bottom w:type="dxa" w:w="70"/>
              <w:right w:type="dxa" w:w="100"/>
            </w:tcMar>
          </w:tcPr>
          <w:p>
            <w:pPr>
              <w:spacing w:line="264"/>
              <w:jc w:val="left"/>
            </w:pPr>
            <w:r>
              <w:rPr>
                <w:rFonts w:ascii="Times New Roman" w:eastAsia="SimSun"/>
                <w:b w:val="false"/>
                <w:bCs w:val="false"/>
                <w:color w:val="000000"/>
                <w:sz w:val="19"/>
                <w:szCs w:val="19"/>
              </w:rPr>
              <w:t xml:space="preserve">成员质量/多样性机制</w:t>
            </w:r>
          </w:p>
        </w:tc>
        <w:tc>
          <w:tcPr>
            <w:tcW w:type="pct" w:w="1200"/>
            <w:tcMar>
              <w:top w:type="dxa" w:w="70"/>
              <w:left w:type="dxa" w:w="100"/>
              <w:bottom w:type="dxa" w:w="70"/>
              <w:right w:type="dxa" w:w="100"/>
            </w:tcMar>
          </w:tcPr>
          <w:p>
            <w:pPr>
              <w:spacing w:line="264"/>
              <w:jc w:val="left"/>
            </w:pPr>
            <w:r>
              <w:rPr>
                <w:rFonts w:ascii="Times New Roman" w:eastAsia="SimSun"/>
                <w:b w:val="false"/>
                <w:bCs w:val="false"/>
                <w:color w:val="000000"/>
                <w:sz w:val="19"/>
                <w:szCs w:val="19"/>
              </w:rPr>
              <w:t xml:space="preserve">Fort 2019</w:t>
            </w:r>
          </w:p>
        </w:tc>
        <w:tc>
          <w:tcPr>
            <w:tcW w:type="pct" w:w="900"/>
            <w:tcMar>
              <w:top w:type="dxa" w:w="70"/>
              <w:left w:type="dxa" w:w="100"/>
              <w:bottom w:type="dxa" w:w="70"/>
              <w:right w:type="dxa" w:w="100"/>
            </w:tcMar>
          </w:tcPr>
          <w:p>
            <w:pPr>
              <w:spacing w:line="264"/>
              <w:jc w:val="left"/>
            </w:pPr>
            <w:r>
              <w:rPr>
                <w:rFonts w:ascii="Times New Roman" w:eastAsia="SimSun"/>
                <w:b w:val="false"/>
                <w:bCs w:val="false"/>
                <w:color w:val="000000"/>
                <w:sz w:val="19"/>
                <w:szCs w:val="19"/>
              </w:rPr>
              <w:t xml:space="preserve">关联性描述（推测层）</w:t>
            </w:r>
          </w:p>
        </w:tc>
        <w:tc>
          <w:tcPr>
            <w:tcW w:type="pct" w:w="1600"/>
            <w:tcMar>
              <w:top w:type="dxa" w:w="70"/>
              <w:left w:type="dxa" w:w="100"/>
              <w:bottom w:type="dxa" w:w="70"/>
              <w:right w:type="dxa" w:w="100"/>
            </w:tcMar>
          </w:tcPr>
          <w:p>
            <w:pPr>
              <w:spacing w:line="264"/>
              <w:jc w:val="left"/>
            </w:pPr>
            <w:r>
              <w:rPr>
                <w:rFonts w:ascii="Times New Roman" w:eastAsia="SimSun"/>
                <w:b w:val="false"/>
                <w:bCs w:val="false"/>
                <w:color w:val="000000"/>
                <w:sz w:val="19"/>
                <w:szCs w:val="19"/>
              </w:rPr>
              <w:t xml:space="preserve">今日复核：种子级相关不稳定，不能升级</w:t>
            </w:r>
          </w:p>
        </w:tc>
      </w:tr>
      <w:tr>
        <w:trPr>
          <w:cantSplit/>
        </w:trPr>
        <w:tc>
          <w:tcPr>
            <w:tcW w:type="pct" w:w="1300"/>
            <w:shd w:fill="F2F6F5" w:val="clear"/>
            <w:tcMar>
              <w:top w:type="dxa" w:w="70"/>
              <w:left w:type="dxa" w:w="100"/>
              <w:bottom w:type="dxa" w:w="70"/>
              <w:right w:type="dxa" w:w="100"/>
            </w:tcMar>
          </w:tcPr>
          <w:p>
            <w:pPr>
              <w:spacing w:line="264"/>
              <w:jc w:val="left"/>
            </w:pPr>
            <w:r>
              <w:rPr>
                <w:rFonts w:ascii="Times New Roman" w:eastAsia="SimSun"/>
                <w:b w:val="false"/>
                <w:bCs w:val="false"/>
                <w:color w:val="000000"/>
                <w:sz w:val="19"/>
                <w:szCs w:val="19"/>
              </w:rPr>
              <w:t xml:space="preserve">无新方法/新理论</w:t>
            </w:r>
          </w:p>
        </w:tc>
        <w:tc>
          <w:tcPr>
            <w:tcW w:type="pct" w:w="1200"/>
            <w:shd w:fill="F2F6F5" w:val="clear"/>
            <w:tcMar>
              <w:top w:type="dxa" w:w="70"/>
              <w:left w:type="dxa" w:w="100"/>
              <w:bottom w:type="dxa" w:w="70"/>
              <w:right w:type="dxa" w:w="100"/>
            </w:tcMar>
          </w:tcPr>
          <w:p>
            <w:pPr>
              <w:spacing w:line="264"/>
              <w:jc w:val="left"/>
            </w:pPr>
            <w:r>
              <w:rPr>
                <w:rFonts w:ascii="Times New Roman" w:eastAsia="SimSun"/>
                <w:b w:val="false"/>
                <w:bCs w:val="false"/>
                <w:color w:val="000000"/>
                <w:sz w:val="19"/>
                <w:szCs w:val="19"/>
              </w:rPr>
              <w:t xml:space="preserve">-</w:t>
            </w:r>
          </w:p>
        </w:tc>
        <w:tc>
          <w:tcPr>
            <w:tcW w:type="pct" w:w="900"/>
            <w:shd w:fill="F2F6F5" w:val="clear"/>
            <w:tcMar>
              <w:top w:type="dxa" w:w="70"/>
              <w:left w:type="dxa" w:w="100"/>
              <w:bottom w:type="dxa" w:w="70"/>
              <w:right w:type="dxa" w:w="100"/>
            </w:tcMar>
          </w:tcPr>
          <w:p>
            <w:pPr>
              <w:spacing w:line="264"/>
              <w:jc w:val="left"/>
            </w:pPr>
            <w:r>
              <w:rPr>
                <w:rFonts w:ascii="Times New Roman" w:eastAsia="SimSun"/>
                <w:b w:val="false"/>
                <w:bCs w:val="false"/>
                <w:color w:val="000000"/>
                <w:sz w:val="19"/>
                <w:szCs w:val="19"/>
              </w:rPr>
              <w:t xml:space="preserve">（自我声明成立）</w:t>
            </w:r>
          </w:p>
        </w:tc>
        <w:tc>
          <w:tcPr>
            <w:tcW w:type="pct" w:w="1600"/>
            <w:shd w:fill="F2F6F5" w:val="clear"/>
            <w:tcMar>
              <w:top w:type="dxa" w:w="70"/>
              <w:left w:type="dxa" w:w="100"/>
              <w:bottom w:type="dxa" w:w="70"/>
              <w:right w:type="dxa" w:w="100"/>
            </w:tcMar>
          </w:tcPr>
          <w:p>
            <w:pPr>
              <w:spacing w:line="264"/>
              <w:jc w:val="left"/>
            </w:pPr>
            <w:r>
              <w:rPr>
                <w:rFonts w:ascii="Times New Roman" w:eastAsia="SimSun"/>
                <w:b w:val="false"/>
                <w:bCs w:val="false"/>
                <w:color w:val="000000"/>
                <w:sz w:val="19"/>
                <w:szCs w:val="19"/>
              </w:rPr>
              <w:t xml:space="preserve">论文自述 ascriptive rather than algorithmic</w:t>
            </w:r>
          </w:p>
        </w:tc>
      </w:tr>
    </w:tbl>
    <w:p>
      <w:pPr>
        <w:keepNext w:val="false"/>
        <w:spacing w:after="80" w:line="312"/>
        <w:ind w:firstLine="480"/>
        <w:jc w:val="both"/>
      </w:pPr>
      <w:r>
        <w:rPr>
          <w:rFonts w:ascii="Times New Roman" w:eastAsia="SimSun"/>
          <w:b w:val="false"/>
          <w:bCs w:val="false"/>
          <w:color w:val="000000"/>
          <w:sz w:val="24"/>
          <w:szCs w:val="24"/>
        </w:rPr>
        <w:t xml:space="preserve">综合判定：论文是一个把更严格控制、一条候选规律、两个边界性发现和若干确认性结果打包在一起的研究。打包本身在方法学上无可指摘，但每一单条的边际知识增量都窄，而头牌位置（标题、摘要前半）放置的是确认性内容。这就是设计严谨与原创性不足可以同时为真的结构性原因。</w:t>
      </w:r>
    </w:p>
    <w:p>
      <w:pPr>
        <w:pStyle w:val="Heading1"/>
        <w:spacing w:after="160" w:before="360" w:line="380" w:lineRule="atLeast"/>
      </w:pPr>
      <w:bookmarkStart w:name="_Toc12" w:id="12"/>
      <w:r>
        <w:rPr>
          <w:rFonts w:ascii="Times New Roman" w:eastAsia="SimHei"/>
          <w:b/>
          <w:bCs/>
          <w:color w:val="0B1C2C"/>
          <w:sz w:val="32"/>
          <w:szCs w:val="32"/>
        </w:rPr>
        <w:t xml:space="preserve">第三章 拒稿原因的证据化解释</w:t>
      </w:r>
      <w:bookmarkEnd w:id="12"/>
    </w:p>
    <w:p>
      <w:pPr>
        <w:pStyle w:val="Heading2"/>
        <w:spacing w:after="120" w:before="260" w:line="350" w:lineRule="atLeast"/>
      </w:pPr>
      <w:bookmarkStart w:name="_Toc13" w:id="13"/>
      <w:r>
        <w:rPr>
          <w:rFonts w:ascii="Times New Roman" w:eastAsia="SimHei"/>
          <w:b/>
          <w:bCs/>
          <w:color w:val="0B1C2C"/>
          <w:sz w:val="28"/>
          <w:szCs w:val="28"/>
        </w:rPr>
        <w:t xml:space="preserve">3.1 为什么严谨的研究仍被初筛拒绝</w:t>
      </w:r>
      <w:bookmarkEnd w:id="13"/>
    </w:p>
    <w:p>
      <w:pPr>
        <w:keepNext w:val="false"/>
        <w:spacing w:after="80" w:line="312"/>
        <w:ind w:firstLine="480"/>
        <w:jc w:val="both"/>
      </w:pPr>
      <w:r>
        <w:rPr>
          <w:rFonts w:ascii="Times New Roman" w:eastAsia="SimSun"/>
          <w:b w:val="false"/>
          <w:bCs w:val="false"/>
          <w:color w:val="000000"/>
          <w:sz w:val="24"/>
          <w:szCs w:val="24"/>
        </w:rPr>
        <w:t xml:space="preserve">初筛编辑的决策输入主要是标题、摘要、引言定位段与作者信息，通常在数分钟内完成。该决策点上有六个机制共同作用。其一，标题 Deep ensembles outperform ... 是领域共识的直接重述，与 Lakshminarayanan 2017 和 Ovadia 2019 的可检索记忆直接冲突为零，即不构成新知识信号。其二，摘要的结构是背景一句加结果罗列，没有任何一句先陈述一个此前未知的问题再给出回答；三个新元素最快也要读摘要后半段才出现。其三，贡献列表第二条自称稳健排序结果，第五条自称事后重校准压力测试——两个最不利的自我标签（稳健性、压力测试）都指向验证性研究。其四，正文明确写有 ascriptive rather than algorithmic，等于替编辑写好了拒稿信。其五，实验规模（不超过 110k 参数的 MLP 加一个小 CNN、10 种子）触发可推广性折扣，编辑无法将小规模确认视为重要。其六，IJMLC 的栏目定位偏向方法与应用创新，比较类论文本身就在劣势赛道。</w:t>
      </w:r>
    </w:p>
    <w:p>
      <w:pPr>
        <w:pStyle w:val="Heading2"/>
        <w:spacing w:after="120" w:before="260" w:line="350" w:lineRule="atLeast"/>
      </w:pPr>
      <w:bookmarkStart w:name="_Toc14" w:id="14"/>
      <w:r>
        <w:rPr>
          <w:rFonts w:ascii="Times New Roman" w:eastAsia="SimHei"/>
          <w:b/>
          <w:bCs/>
          <w:color w:val="0B1C2C"/>
          <w:sz w:val="28"/>
          <w:szCs w:val="28"/>
        </w:rPr>
        <w:t xml:space="preserve">3.2 真正新增了什么知识</w:t>
      </w:r>
      <w:bookmarkEnd w:id="14"/>
    </w:p>
    <w:p>
      <w:pPr>
        <w:keepNext w:val="false"/>
        <w:spacing w:after="80" w:line="312"/>
        <w:ind w:firstLine="480"/>
        <w:jc w:val="both"/>
      </w:pPr>
      <w:r>
        <w:rPr>
          <w:rFonts w:ascii="Times New Roman" w:eastAsia="SimSun"/>
          <w:b w:val="false"/>
          <w:bCs w:val="false"/>
          <w:color w:val="000000"/>
          <w:sz w:val="24"/>
          <w:szCs w:val="24"/>
        </w:rPr>
        <w:t xml:space="preserve">诚实的清单有三条，且都应按窄增量表述。第一，在预算精确对齐且检查点配对的设计下，快照集成在校准与 OOD 端点系统性劣于独立重启集成——这修正了 Huang 2017 免费午餐叙事在不确定性轴上的适用性，此前未见直接演示（检索截至 2026-10-19）。第二，预算放大规律：固定 k=3 下 DeepEns 对 Single 的 NLL 优势随 B 从 30 增至 120 而从 0.075 增至 0.332，且与单模型验证 NLL 早早触底（中位第 12 epoch）共同出现——一条可检验的规律候选，机制解释自洽但未证。第三，MNIST 饱和边界：单轨迹策略在近饱和任务上无可靠改进，为集成收益的存在性给出了条件（校准余量）。其余内容——集成优于单模型、TS 不能关闭差距、集成在偏移下稳健——分别是三篇以上先例的再确认。</w:t>
      </w:r>
    </w:p>
    <w:p>
      <w:pPr>
        <w:pStyle w:val="Heading2"/>
        <w:spacing w:after="120" w:before="260" w:line="350" w:lineRule="atLeast"/>
      </w:pPr>
      <w:bookmarkStart w:name="_Toc15" w:id="15"/>
      <w:r>
        <w:rPr>
          <w:rFonts w:ascii="Times New Roman" w:eastAsia="SimHei"/>
          <w:b/>
          <w:bCs/>
          <w:color w:val="0B1C2C"/>
          <w:sz w:val="28"/>
          <w:szCs w:val="28"/>
        </w:rPr>
        <w:t xml:space="preserve">3.3 新增知识是否足够重要、可推广、可复现</w:t>
      </w:r>
      <w:bookmarkEnd w:id="15"/>
    </w:p>
    <w:p>
      <w:pPr>
        <w:keepNext w:val="false"/>
        <w:spacing w:after="80" w:line="312"/>
        <w:ind w:firstLine="480"/>
        <w:jc w:val="both"/>
      </w:pPr>
      <w:r>
        <w:rPr>
          <w:rFonts w:ascii="Times New Roman" w:eastAsia="SimSun"/>
          <w:b w:val="false"/>
          <w:bCs w:val="false"/>
          <w:color w:val="000000"/>
          <w:sz w:val="24"/>
          <w:szCs w:val="24"/>
        </w:rPr>
        <w:t xml:space="preserve">三个维度必须分开回答。可复现性是论文最强的维度：逐种子原始记录、位级复现门控（110/110）、公开代码与源数据、预注册统计计划，超过该领域典型标准。重要性居中：预算分配是从业者真实的日常决策，一条可靠的分配规律有实用价值；但快照集成的校准缺陷属于对一项逐渐淡出主流的方法的精确化，受众有限。可推广性是最弱维度：规律只在两种架构、三种灰度图数据与一个小规模 CNN 上测得，k 与 B 的联合行为未测，未触及现代视觉基准。综合：作为以新颖性为门槛的期刊投稿，当前证据组合不足；作为以主张-证据支持为标准的投稿，当前证据组合充分且质量突出。</w:t>
      </w:r>
    </w:p>
    <w:p>
      <w:pPr>
        <w:pStyle w:val="Heading2"/>
        <w:spacing w:after="120" w:before="260" w:line="350" w:lineRule="atLeast"/>
      </w:pPr>
      <w:bookmarkStart w:name="_Toc16" w:id="16"/>
      <w:r>
        <w:rPr>
          <w:rFonts w:ascii="Times New Roman" w:eastAsia="SimHei"/>
          <w:b/>
          <w:bCs/>
          <w:color w:val="0B1C2C"/>
          <w:sz w:val="28"/>
          <w:szCs w:val="28"/>
        </w:rPr>
        <w:t xml:space="preserve">3.4 共识验证还是未揭示的规律</w:t>
      </w:r>
      <w:bookmarkEnd w:id="16"/>
    </w:p>
    <w:p>
      <w:pPr>
        <w:keepNext w:val="false"/>
        <w:spacing w:after="80" w:line="312"/>
        <w:ind w:firstLine="480"/>
        <w:jc w:val="both"/>
      </w:pPr>
      <w:r>
        <w:rPr>
          <w:rFonts w:ascii="Times New Roman" w:eastAsia="SimSun"/>
          <w:b w:val="false"/>
          <w:bCs w:val="false"/>
          <w:color w:val="000000"/>
          <w:sz w:val="24"/>
          <w:szCs w:val="24"/>
        </w:rPr>
        <w:t xml:space="preserve">判定：混合体，但其头牌是共识验证。论文约六成的结果篇幅服务于对已知结论的更严格再确认（四元排序、TS、OOD 稳健性），约四分之一是边界条件与例外（MNIST、CIFAR ECE 未解析、B=30 拉平），约八分之一是真正的窄增量（快照校准缺陷、预算放大规律）。如果把这些比例倒转——以规律和边界条件为主轴、以确认性内容为支撑——同一批数据可以支撑一篇叙事完全不同的论文。这正是方案 A 与方案 B 的分界：A 只重排叙事，B 同时扩充规律的证据面。</w:t>
      </w:r>
    </w:p>
    <w:p>
      <w:pPr>
        <w:pStyle w:val="Heading2"/>
        <w:spacing w:after="120" w:before="260" w:line="350" w:lineRule="atLeast"/>
      </w:pPr>
      <w:bookmarkStart w:name="_Toc17" w:id="17"/>
      <w:r>
        <w:rPr>
          <w:rFonts w:ascii="Times New Roman" w:eastAsia="SimHei"/>
          <w:b/>
          <w:bCs/>
          <w:color w:val="0B1C2C"/>
          <w:sz w:val="28"/>
          <w:szCs w:val="28"/>
        </w:rPr>
        <w:t xml:space="preserve">3.5 如果我是编辑：当前版本会再次被拒吗</w:t>
      </w:r>
      <w:bookmarkEnd w:id="17"/>
    </w:p>
    <w:p>
      <w:pPr>
        <w:keepNext w:val="false"/>
        <w:spacing w:after="80" w:line="312"/>
        <w:ind w:firstLine="480"/>
        <w:jc w:val="both"/>
      </w:pPr>
      <w:r>
        <w:rPr>
          <w:rFonts w:ascii="Times New Roman" w:eastAsia="SimSun"/>
          <w:b w:val="false"/>
          <w:bCs w:val="false"/>
          <w:color w:val="000000"/>
          <w:sz w:val="24"/>
          <w:szCs w:val="24"/>
        </w:rPr>
        <w:t xml:space="preserve">会，且理由与本次拒稿相同。以当前标题与摘要投任何以新颖性为初筛门槛的期刊，我给出约六到七成的再次初筛拒稿概率：模式匹配的输入（标题句式、结果罗列式摘要、自我声明的验证性定位、小规模实验）一个都没有变。支持这一判断的证据已在 3.1 列举。反方向证据同样真实：检查点配对设计在两轮独立检索中未见先例；快照校准缺陷是对已发表主张的实质性修正；预算放大是可检验规律候选；统计与复现标准高于领域典型；负结果与异常种子的报告诚实。因此若论文被送外审，我预期审稿人评价为技术上无懈可击、贡献增量有限，最终分歧将落在重要性而非正确性上。重构定位后（方案 A/B 的改写），初筛拒稿概率我估计降到四到五成，且送审后通过的可能性显著上升——因为那时的头牌主张不再是任何先例的直接重述。</w:t>
      </w:r>
    </w:p>
    <w:p>
      <w:pPr>
        <w:pStyle w:val="Heading1"/>
        <w:spacing w:after="160" w:before="360" w:line="380" w:lineRule="atLeast"/>
      </w:pPr>
      <w:bookmarkStart w:name="_Toc18" w:id="18"/>
      <w:r>
        <w:rPr>
          <w:rFonts w:ascii="Times New Roman" w:eastAsia="SimHei"/>
          <w:b/>
          <w:bCs/>
          <w:color w:val="0B1C2C"/>
          <w:sz w:val="32"/>
          <w:szCs w:val="32"/>
        </w:rPr>
        <w:t xml:space="preserve">第四章 三个投入水平的研究方案</w:t>
      </w:r>
      <w:bookmarkEnd w:id="18"/>
    </w:p>
    <w:p>
      <w:pPr>
        <w:keepNext w:val="false"/>
        <w:spacing w:after="80" w:line="312"/>
        <w:ind w:firstLine="480"/>
        <w:jc w:val="both"/>
      </w:pPr>
      <w:r>
        <w:rPr>
          <w:rFonts w:ascii="Times New Roman" w:eastAsia="SimSun"/>
          <w:b w:val="false"/>
          <w:bCs w:val="false"/>
          <w:color w:val="000000"/>
          <w:sz w:val="24"/>
          <w:szCs w:val="24"/>
        </w:rPr>
        <w:t xml:space="preserve">三个方案共用同一个原则：先明确研究问题与可证伪预测，再决定实验；不通过堆数据集换录用。每个方案按十一个要素给出。三方案对比总表见 4.4。</w:t>
      </w:r>
    </w:p>
    <w:p>
      <w:pPr>
        <w:pStyle w:val="Heading2"/>
        <w:spacing w:after="120" w:before="260" w:line="350" w:lineRule="atLeast"/>
      </w:pPr>
      <w:bookmarkStart w:name="_Toc19" w:id="19"/>
      <w:r>
        <w:rPr>
          <w:rFonts w:ascii="Times New Roman" w:eastAsia="SimHei"/>
          <w:b/>
          <w:bCs/>
          <w:color w:val="0B1C2C"/>
          <w:sz w:val="28"/>
          <w:szCs w:val="28"/>
        </w:rPr>
        <w:t xml:space="preserve">4.1 方案 A：最小改动（重定位为受控实证研究）</w:t>
      </w:r>
      <w:bookmarkEnd w:id="19"/>
    </w:p>
    <w:p>
      <w:pPr>
        <w:keepNext/>
        <w:spacing w:after="100" w:before="160" w:line="280"/>
        <w:jc w:val="center"/>
      </w:pPr>
      <w:r>
        <w:rPr>
          <w:rFonts w:ascii="Times New Roman" w:eastAsia="SimHei"/>
          <w:b/>
          <w:bCs/>
          <w:color w:val="404040"/>
          <w:sz w:val="21"/>
          <w:szCs w:val="21"/>
        </w:rPr>
        <w:t xml:space="preserve">表 4-1 方案 A 要素表</w:t>
      </w:r>
    </w:p>
    <w:tbl>
      <w:tblPr>
        <w:tblW w:type="pct" w:w="5000"/>
        <w:tblBorders>
          <w:top w:val="single" w:color="529286" w:sz="6"/>
          <w:left w:val="none" w:color="FFFFFF" w:sz="0"/>
          <w:bottom w:val="single" w:color="529286" w:sz="6"/>
          <w:right w:val="none" w:color="FFFFFF" w:sz="0"/>
          <w:insideH w:val="single" w:color="C8D4D0" w:sz="2"/>
          <w:insideV w:val="none" w:color="FFFFFF" w:sz="0"/>
        </w:tblBorders>
      </w:tblPr>
      <w:tblGrid>
        <w:gridCol w:w="1582"/>
        <w:gridCol w:w="7206"/>
      </w:tblGrid>
      <w:tr>
        <w:trPr>
          <w:cantSplit/>
          <w:tblHeader/>
        </w:trPr>
        <w:tc>
          <w:tcPr>
            <w:tcW w:type="pct" w:w="900"/>
            <w:shd w:fill="529286" w:val="clear"/>
            <w:tcMar>
              <w:top w:type="dxa" w:w="70"/>
              <w:left w:type="dxa" w:w="100"/>
              <w:bottom w:type="dxa" w:w="70"/>
              <w:right w:type="dxa" w:w="100"/>
            </w:tcMar>
          </w:tcPr>
          <w:p>
            <w:pPr>
              <w:spacing w:line="260"/>
              <w:jc w:val="center"/>
            </w:pPr>
            <w:r>
              <w:rPr>
                <w:rFonts w:ascii="Times New Roman" w:eastAsia="SimHei"/>
                <w:b/>
                <w:bCs/>
                <w:color w:val="FFFFFF"/>
                <w:sz w:val="20"/>
                <w:szCs w:val="20"/>
              </w:rPr>
              <w:t xml:space="preserve">要素</w:t>
            </w:r>
          </w:p>
        </w:tc>
        <w:tc>
          <w:tcPr>
            <w:tcW w:type="pct" w:w="4100"/>
            <w:shd w:fill="529286" w:val="clear"/>
            <w:tcMar>
              <w:top w:type="dxa" w:w="70"/>
              <w:left w:type="dxa" w:w="100"/>
              <w:bottom w:type="dxa" w:w="70"/>
              <w:right w:type="dxa" w:w="100"/>
            </w:tcMar>
          </w:tcPr>
          <w:p>
            <w:pPr>
              <w:spacing w:line="260"/>
              <w:jc w:val="center"/>
            </w:pPr>
            <w:r>
              <w:rPr>
                <w:rFonts w:ascii="Times New Roman" w:eastAsia="SimHei"/>
                <w:b/>
                <w:bCs/>
                <w:color w:val="FFFFFF"/>
                <w:sz w:val="20"/>
                <w:szCs w:val="20"/>
              </w:rPr>
              <w:t xml:space="preserve">内容</w:t>
            </w:r>
          </w:p>
        </w:tc>
      </w:tr>
      <w:tr>
        <w:trPr>
          <w:cantSplit/>
        </w:trPr>
        <w:tc>
          <w:tcPr>
            <w:tcW w:type="pct" w:w="900"/>
            <w:tcMar>
              <w:top w:type="dxa" w:w="70"/>
              <w:left w:type="dxa" w:w="100"/>
              <w:bottom w:type="dxa" w:w="70"/>
              <w:right w:type="dxa" w:w="100"/>
            </w:tcMar>
          </w:tcPr>
          <w:p>
            <w:pPr>
              <w:spacing w:line="264"/>
              <w:jc w:val="left"/>
            </w:pPr>
            <w:r>
              <w:rPr>
                <w:rFonts w:ascii="Times New Roman" w:eastAsia="SimSun"/>
                <w:b w:val="false"/>
                <w:bCs w:val="false"/>
                <w:color w:val="000000"/>
                <w:sz w:val="20"/>
                <w:szCs w:val="20"/>
              </w:rPr>
              <w:t xml:space="preserve">研究问题</w:t>
            </w:r>
          </w:p>
        </w:tc>
        <w:tc>
          <w:tcPr>
            <w:tcW w:type="pct" w:w="4100"/>
            <w:tcMar>
              <w:top w:type="dxa" w:w="70"/>
              <w:left w:type="dxa" w:w="100"/>
              <w:bottom w:type="dxa" w:w="70"/>
              <w:right w:type="dxa" w:w="100"/>
            </w:tcMar>
          </w:tcPr>
          <w:p>
            <w:pPr>
              <w:spacing w:line="264"/>
              <w:jc w:val="left"/>
            </w:pPr>
            <w:r>
              <w:rPr>
                <w:rFonts w:ascii="Times New Roman" w:eastAsia="SimSun"/>
                <w:b w:val="false"/>
                <w:bCs w:val="false"/>
                <w:color w:val="000000"/>
                <w:sz w:val="20"/>
                <w:szCs w:val="20"/>
              </w:rPr>
              <w:t xml:space="preserve">在预算精确对齐的受控设置下，四种预算分配策略的校准与 OOD 行为及其边界条件是什么（描述性，不新设假设）</w:t>
            </w:r>
          </w:p>
        </w:tc>
      </w:tr>
      <w:tr>
        <w:trPr>
          <w:cantSplit/>
        </w:trPr>
        <w:tc>
          <w:tcPr>
            <w:tcW w:type="pct" w:w="900"/>
            <w:shd w:fill="F2F6F5" w:val="clear"/>
            <w:tcMar>
              <w:top w:type="dxa" w:w="70"/>
              <w:left w:type="dxa" w:w="100"/>
              <w:bottom w:type="dxa" w:w="70"/>
              <w:right w:type="dxa" w:w="100"/>
            </w:tcMar>
          </w:tcPr>
          <w:p>
            <w:pPr>
              <w:spacing w:line="264"/>
              <w:jc w:val="left"/>
            </w:pPr>
            <w:r>
              <w:rPr>
                <w:rFonts w:ascii="Times New Roman" w:eastAsia="SimSun"/>
                <w:b w:val="false"/>
                <w:bCs w:val="false"/>
                <w:color w:val="000000"/>
                <w:sz w:val="20"/>
                <w:szCs w:val="20"/>
              </w:rPr>
              <w:t xml:space="preserve">与文献区别</w:t>
            </w:r>
          </w:p>
        </w:tc>
        <w:tc>
          <w:tcPr>
            <w:tcW w:type="pct" w:w="4100"/>
            <w:shd w:fill="F2F6F5" w:val="clear"/>
            <w:tcMar>
              <w:top w:type="dxa" w:w="70"/>
              <w:left w:type="dxa" w:w="100"/>
              <w:bottom w:type="dxa" w:w="70"/>
              <w:right w:type="dxa" w:w="100"/>
            </w:tcMar>
          </w:tcPr>
          <w:p>
            <w:pPr>
              <w:spacing w:line="264"/>
              <w:jc w:val="left"/>
            </w:pPr>
            <w:r>
              <w:rPr>
                <w:rFonts w:ascii="Times New Roman" w:eastAsia="SimSun"/>
                <w:b w:val="false"/>
                <w:bCs w:val="false"/>
                <w:color w:val="000000"/>
                <w:sz w:val="20"/>
                <w:szCs w:val="20"/>
              </w:rPr>
              <w:t xml:space="preserve">强调检查点配对与预算轴的系统性（表 2-1 第 7、9、10 行的空位）；补引 Kondratyuk 2020</w:t>
            </w:r>
          </w:p>
        </w:tc>
      </w:tr>
      <w:tr>
        <w:trPr>
          <w:cantSplit/>
        </w:trPr>
        <w:tc>
          <w:tcPr>
            <w:tcW w:type="pct" w:w="900"/>
            <w:tcMar>
              <w:top w:type="dxa" w:w="70"/>
              <w:left w:type="dxa" w:w="100"/>
              <w:bottom w:type="dxa" w:w="70"/>
              <w:right w:type="dxa" w:w="100"/>
            </w:tcMar>
          </w:tcPr>
          <w:p>
            <w:pPr>
              <w:spacing w:line="264"/>
              <w:jc w:val="left"/>
            </w:pPr>
            <w:r>
              <w:rPr>
                <w:rFonts w:ascii="Times New Roman" w:eastAsia="SimSun"/>
                <w:b w:val="false"/>
                <w:bCs w:val="false"/>
                <w:color w:val="000000"/>
                <w:sz w:val="20"/>
                <w:szCs w:val="20"/>
              </w:rPr>
              <w:t xml:space="preserve">核心假设</w:t>
            </w:r>
          </w:p>
        </w:tc>
        <w:tc>
          <w:tcPr>
            <w:tcW w:type="pct" w:w="4100"/>
            <w:tcMar>
              <w:top w:type="dxa" w:w="70"/>
              <w:left w:type="dxa" w:w="100"/>
              <w:bottom w:type="dxa" w:w="70"/>
              <w:right w:type="dxa" w:w="100"/>
            </w:tcMar>
          </w:tcPr>
          <w:p>
            <w:pPr>
              <w:spacing w:line="264"/>
              <w:jc w:val="left"/>
            </w:pPr>
            <w:r>
              <w:rPr>
                <w:rFonts w:ascii="Times New Roman" w:eastAsia="SimSun"/>
                <w:b w:val="false"/>
                <w:bCs w:val="false"/>
                <w:color w:val="000000"/>
                <w:sz w:val="20"/>
                <w:szCs w:val="20"/>
              </w:rPr>
              <w:t xml:space="preserve">无新假设；以既有预注册结论为主张集合</w:t>
            </w:r>
          </w:p>
        </w:tc>
      </w:tr>
      <w:tr>
        <w:trPr>
          <w:cantSplit/>
        </w:trPr>
        <w:tc>
          <w:tcPr>
            <w:tcW w:type="pct" w:w="900"/>
            <w:shd w:fill="F2F6F5" w:val="clear"/>
            <w:tcMar>
              <w:top w:type="dxa" w:w="70"/>
              <w:left w:type="dxa" w:w="100"/>
              <w:bottom w:type="dxa" w:w="70"/>
              <w:right w:type="dxa" w:w="100"/>
            </w:tcMar>
          </w:tcPr>
          <w:p>
            <w:pPr>
              <w:spacing w:line="264"/>
              <w:jc w:val="left"/>
            </w:pPr>
            <w:r>
              <w:rPr>
                <w:rFonts w:ascii="Times New Roman" w:eastAsia="SimSun"/>
                <w:b w:val="false"/>
                <w:bCs w:val="false"/>
                <w:color w:val="000000"/>
                <w:sz w:val="20"/>
                <w:szCs w:val="20"/>
              </w:rPr>
              <w:t xml:space="preserve">可证伪预测</w:t>
            </w:r>
          </w:p>
        </w:tc>
        <w:tc>
          <w:tcPr>
            <w:tcW w:type="pct" w:w="4100"/>
            <w:shd w:fill="F2F6F5" w:val="clear"/>
            <w:tcMar>
              <w:top w:type="dxa" w:w="70"/>
              <w:left w:type="dxa" w:w="100"/>
              <w:bottom w:type="dxa" w:w="70"/>
              <w:right w:type="dxa" w:w="100"/>
            </w:tcMar>
          </w:tcPr>
          <w:p>
            <w:pPr>
              <w:spacing w:line="264"/>
              <w:jc w:val="left"/>
            </w:pPr>
            <w:r>
              <w:rPr>
                <w:rFonts w:ascii="Times New Roman" w:eastAsia="SimSun"/>
                <w:b w:val="false"/>
                <w:bCs w:val="false"/>
                <w:color w:val="000000"/>
                <w:sz w:val="20"/>
                <w:szCs w:val="20"/>
              </w:rPr>
              <w:t xml:space="preserve">既有边界条件即预测：MNIST 方向单轨迹无改进；B=30 处 TS 拉平</w:t>
            </w:r>
          </w:p>
        </w:tc>
      </w:tr>
      <w:tr>
        <w:trPr>
          <w:cantSplit/>
        </w:trPr>
        <w:tc>
          <w:tcPr>
            <w:tcW w:type="pct" w:w="900"/>
            <w:tcMar>
              <w:top w:type="dxa" w:w="70"/>
              <w:left w:type="dxa" w:w="100"/>
              <w:bottom w:type="dxa" w:w="70"/>
              <w:right w:type="dxa" w:w="100"/>
            </w:tcMar>
          </w:tcPr>
          <w:p>
            <w:pPr>
              <w:spacing w:line="264"/>
              <w:jc w:val="left"/>
            </w:pPr>
            <w:r>
              <w:rPr>
                <w:rFonts w:ascii="Times New Roman" w:eastAsia="SimSun"/>
                <w:b w:val="false"/>
                <w:bCs w:val="false"/>
                <w:color w:val="000000"/>
                <w:sz w:val="20"/>
                <w:szCs w:val="20"/>
              </w:rPr>
              <w:t xml:space="preserve">必要实验</w:t>
            </w:r>
          </w:p>
        </w:tc>
        <w:tc>
          <w:tcPr>
            <w:tcW w:type="pct" w:w="4100"/>
            <w:tcMar>
              <w:top w:type="dxa" w:w="70"/>
              <w:left w:type="dxa" w:w="100"/>
              <w:bottom w:type="dxa" w:w="70"/>
              <w:right w:type="dxa" w:w="100"/>
            </w:tcMar>
          </w:tcPr>
          <w:p>
            <w:pPr>
              <w:spacing w:line="264"/>
              <w:jc w:val="left"/>
            </w:pPr>
            <w:r>
              <w:rPr>
                <w:rFonts w:ascii="Times New Roman" w:eastAsia="SimSun"/>
                <w:b w:val="false"/>
                <w:bCs w:val="false"/>
                <w:color w:val="000000"/>
                <w:sz w:val="20"/>
                <w:szCs w:val="20"/>
              </w:rPr>
              <w:t xml:space="preserve">零。仅从现有数据补两项标注为探索性的分析：排名稳定性量化（今日已完成）与验证 NLL 轨迹机制图（数据已在）</w:t>
            </w:r>
          </w:p>
        </w:tc>
      </w:tr>
      <w:tr>
        <w:trPr>
          <w:cantSplit/>
        </w:trPr>
        <w:tc>
          <w:tcPr>
            <w:tcW w:type="pct" w:w="900"/>
            <w:shd w:fill="F2F6F5" w:val="clear"/>
            <w:tcMar>
              <w:top w:type="dxa" w:w="70"/>
              <w:left w:type="dxa" w:w="100"/>
              <w:bottom w:type="dxa" w:w="70"/>
              <w:right w:type="dxa" w:w="100"/>
            </w:tcMar>
          </w:tcPr>
          <w:p>
            <w:pPr>
              <w:spacing w:line="264"/>
              <w:jc w:val="left"/>
            </w:pPr>
            <w:r>
              <w:rPr>
                <w:rFonts w:ascii="Times New Roman" w:eastAsia="SimSun"/>
                <w:b w:val="false"/>
                <w:bCs w:val="false"/>
                <w:color w:val="000000"/>
                <w:sz w:val="20"/>
                <w:szCs w:val="20"/>
              </w:rPr>
              <w:t xml:space="preserve">对照方法</w:t>
            </w:r>
          </w:p>
        </w:tc>
        <w:tc>
          <w:tcPr>
            <w:tcW w:type="pct" w:w="4100"/>
            <w:shd w:fill="F2F6F5" w:val="clear"/>
            <w:tcMar>
              <w:top w:type="dxa" w:w="70"/>
              <w:left w:type="dxa" w:w="100"/>
              <w:bottom w:type="dxa" w:w="70"/>
              <w:right w:type="dxa" w:w="100"/>
            </w:tcMar>
          </w:tcPr>
          <w:p>
            <w:pPr>
              <w:spacing w:line="264"/>
              <w:jc w:val="left"/>
            </w:pPr>
            <w:r>
              <w:rPr>
                <w:rFonts w:ascii="Times New Roman" w:eastAsia="SimSun"/>
                <w:b w:val="false"/>
                <w:bCs w:val="false"/>
                <w:color w:val="000000"/>
                <w:sz w:val="20"/>
                <w:szCs w:val="20"/>
              </w:rPr>
              <w:t xml:space="preserve">现有四条件不变</w:t>
            </w:r>
          </w:p>
        </w:tc>
      </w:tr>
      <w:tr>
        <w:trPr>
          <w:cantSplit/>
        </w:trPr>
        <w:tc>
          <w:tcPr>
            <w:tcW w:type="pct" w:w="900"/>
            <w:tcMar>
              <w:top w:type="dxa" w:w="70"/>
              <w:left w:type="dxa" w:w="100"/>
              <w:bottom w:type="dxa" w:w="70"/>
              <w:right w:type="dxa" w:w="100"/>
            </w:tcMar>
          </w:tcPr>
          <w:p>
            <w:pPr>
              <w:spacing w:line="264"/>
              <w:jc w:val="left"/>
            </w:pPr>
            <w:r>
              <w:rPr>
                <w:rFonts w:ascii="Times New Roman" w:eastAsia="SimSun"/>
                <w:b w:val="false"/>
                <w:bCs w:val="false"/>
                <w:color w:val="000000"/>
                <w:sz w:val="20"/>
                <w:szCs w:val="20"/>
              </w:rPr>
              <w:t xml:space="preserve">数据集与模型</w:t>
            </w:r>
          </w:p>
        </w:tc>
        <w:tc>
          <w:tcPr>
            <w:tcW w:type="pct" w:w="4100"/>
            <w:tcMar>
              <w:top w:type="dxa" w:w="70"/>
              <w:left w:type="dxa" w:w="100"/>
              <w:bottom w:type="dxa" w:w="70"/>
              <w:right w:type="dxa" w:w="100"/>
            </w:tcMar>
          </w:tcPr>
          <w:p>
            <w:pPr>
              <w:spacing w:line="264"/>
              <w:jc w:val="left"/>
            </w:pPr>
            <w:r>
              <w:rPr>
                <w:rFonts w:ascii="Times New Roman" w:eastAsia="SimSun"/>
                <w:b w:val="false"/>
                <w:bCs w:val="false"/>
                <w:color w:val="000000"/>
                <w:sz w:val="20"/>
                <w:szCs w:val="20"/>
              </w:rPr>
              <w:t xml:space="preserve">不变（FMNIST/MNIST/KMNIST/CIFAR-10；MLP/小 CNN）</w:t>
            </w:r>
          </w:p>
        </w:tc>
      </w:tr>
      <w:tr>
        <w:trPr>
          <w:cantSplit/>
        </w:trPr>
        <w:tc>
          <w:tcPr>
            <w:tcW w:type="pct" w:w="900"/>
            <w:shd w:fill="F2F6F5" w:val="clear"/>
            <w:tcMar>
              <w:top w:type="dxa" w:w="70"/>
              <w:left w:type="dxa" w:w="100"/>
              <w:bottom w:type="dxa" w:w="70"/>
              <w:right w:type="dxa" w:w="100"/>
            </w:tcMar>
          </w:tcPr>
          <w:p>
            <w:pPr>
              <w:spacing w:line="264"/>
              <w:jc w:val="left"/>
            </w:pPr>
            <w:r>
              <w:rPr>
                <w:rFonts w:ascii="Times New Roman" w:eastAsia="SimSun"/>
                <w:b w:val="false"/>
                <w:bCs w:val="false"/>
                <w:color w:val="000000"/>
                <w:sz w:val="20"/>
                <w:szCs w:val="20"/>
              </w:rPr>
              <w:t xml:space="preserve">统计分析计划</w:t>
            </w:r>
          </w:p>
        </w:tc>
        <w:tc>
          <w:tcPr>
            <w:tcW w:type="pct" w:w="4100"/>
            <w:shd w:fill="F2F6F5" w:val="clear"/>
            <w:tcMar>
              <w:top w:type="dxa" w:w="70"/>
              <w:left w:type="dxa" w:w="100"/>
              <w:bottom w:type="dxa" w:w="70"/>
              <w:right w:type="dxa" w:w="100"/>
            </w:tcMar>
          </w:tcPr>
          <w:p>
            <w:pPr>
              <w:spacing w:line="264"/>
              <w:jc w:val="left"/>
            </w:pPr>
            <w:r>
              <w:rPr>
                <w:rFonts w:ascii="Times New Roman" w:eastAsia="SimSun"/>
                <w:b w:val="false"/>
                <w:bCs w:val="false"/>
                <w:color w:val="000000"/>
                <w:sz w:val="20"/>
                <w:szCs w:val="20"/>
              </w:rPr>
              <w:t xml:space="preserve">不变；新增内容全部标注探索性，不做推断性主张</w:t>
            </w:r>
          </w:p>
        </w:tc>
      </w:tr>
      <w:tr>
        <w:trPr>
          <w:cantSplit/>
        </w:trPr>
        <w:tc>
          <w:tcPr>
            <w:tcW w:type="pct" w:w="900"/>
            <w:tcMar>
              <w:top w:type="dxa" w:w="70"/>
              <w:left w:type="dxa" w:w="100"/>
              <w:bottom w:type="dxa" w:w="70"/>
              <w:right w:type="dxa" w:w="100"/>
            </w:tcMar>
          </w:tcPr>
          <w:p>
            <w:pPr>
              <w:spacing w:line="264"/>
              <w:jc w:val="left"/>
            </w:pPr>
            <w:r>
              <w:rPr>
                <w:rFonts w:ascii="Times New Roman" w:eastAsia="SimSun"/>
                <w:b w:val="false"/>
                <w:bCs w:val="false"/>
                <w:color w:val="000000"/>
                <w:sz w:val="20"/>
                <w:szCs w:val="20"/>
              </w:rPr>
              <w:t xml:space="preserve">预期失败条件</w:t>
            </w:r>
          </w:p>
        </w:tc>
        <w:tc>
          <w:tcPr>
            <w:tcW w:type="pct" w:w="4100"/>
            <w:tcMar>
              <w:top w:type="dxa" w:w="70"/>
              <w:left w:type="dxa" w:w="100"/>
              <w:bottom w:type="dxa" w:w="70"/>
              <w:right w:type="dxa" w:w="100"/>
            </w:tcMar>
          </w:tcPr>
          <w:p>
            <w:pPr>
              <w:spacing w:line="264"/>
              <w:jc w:val="left"/>
            </w:pPr>
            <w:r>
              <w:rPr>
                <w:rFonts w:ascii="Times New Roman" w:eastAsia="SimSun"/>
                <w:b w:val="false"/>
                <w:bCs w:val="false"/>
                <w:color w:val="000000"/>
                <w:sz w:val="20"/>
                <w:szCs w:val="20"/>
              </w:rPr>
              <w:t xml:space="preserve">目标期刊仍以新颖性拒稿（中等概率）；TMLR 审稿人在兴趣标准下不接受（低到中等概率，含 AI 披露处置风险）</w:t>
            </w:r>
          </w:p>
        </w:tc>
      </w:tr>
      <w:tr>
        <w:trPr>
          <w:cantSplit/>
        </w:trPr>
        <w:tc>
          <w:tcPr>
            <w:tcW w:type="pct" w:w="900"/>
            <w:shd w:fill="F2F6F5" w:val="clear"/>
            <w:tcMar>
              <w:top w:type="dxa" w:w="70"/>
              <w:left w:type="dxa" w:w="100"/>
              <w:bottom w:type="dxa" w:w="70"/>
              <w:right w:type="dxa" w:w="100"/>
            </w:tcMar>
          </w:tcPr>
          <w:p>
            <w:pPr>
              <w:spacing w:line="264"/>
              <w:jc w:val="left"/>
            </w:pPr>
            <w:r>
              <w:rPr>
                <w:rFonts w:ascii="Times New Roman" w:eastAsia="SimSun"/>
                <w:b w:val="false"/>
                <w:bCs w:val="false"/>
                <w:color w:val="000000"/>
                <w:sz w:val="20"/>
                <w:szCs w:val="20"/>
              </w:rPr>
              <w:t xml:space="preserve">时间与资源</w:t>
            </w:r>
          </w:p>
        </w:tc>
        <w:tc>
          <w:tcPr>
            <w:tcW w:type="pct" w:w="4100"/>
            <w:shd w:fill="F2F6F5" w:val="clear"/>
            <w:tcMar>
              <w:top w:type="dxa" w:w="70"/>
              <w:left w:type="dxa" w:w="100"/>
              <w:bottom w:type="dxa" w:w="70"/>
              <w:right w:type="dxa" w:w="100"/>
            </w:tcMar>
          </w:tcPr>
          <w:p>
            <w:pPr>
              <w:spacing w:line="264"/>
              <w:jc w:val="left"/>
            </w:pPr>
            <w:r>
              <w:rPr>
                <w:rFonts w:ascii="Times New Roman" w:eastAsia="SimSun"/>
                <w:b w:val="false"/>
                <w:bCs w:val="false"/>
                <w:color w:val="000000"/>
                <w:sz w:val="20"/>
                <w:szCs w:val="20"/>
              </w:rPr>
              <w:t xml:space="preserve">1 至 2 周写作；无计算资源</w:t>
            </w:r>
          </w:p>
        </w:tc>
      </w:tr>
      <w:tr>
        <w:trPr>
          <w:cantSplit/>
        </w:trPr>
        <w:tc>
          <w:tcPr>
            <w:tcW w:type="pct" w:w="900"/>
            <w:tcMar>
              <w:top w:type="dxa" w:w="70"/>
              <w:left w:type="dxa" w:w="100"/>
              <w:bottom w:type="dxa" w:w="70"/>
              <w:right w:type="dxa" w:w="100"/>
            </w:tcMar>
          </w:tcPr>
          <w:p>
            <w:pPr>
              <w:spacing w:line="264"/>
              <w:jc w:val="left"/>
            </w:pPr>
            <w:r>
              <w:rPr>
                <w:rFonts w:ascii="Times New Roman" w:eastAsia="SimSun"/>
                <w:b w:val="false"/>
                <w:bCs w:val="false"/>
                <w:color w:val="000000"/>
                <w:sz w:val="20"/>
                <w:szCs w:val="20"/>
              </w:rPr>
              <w:t xml:space="preserve">最大风险</w:t>
            </w:r>
          </w:p>
        </w:tc>
        <w:tc>
          <w:tcPr>
            <w:tcW w:type="pct" w:w="4100"/>
            <w:tcMar>
              <w:top w:type="dxa" w:w="70"/>
              <w:left w:type="dxa" w:w="100"/>
              <w:bottom w:type="dxa" w:w="70"/>
              <w:right w:type="dxa" w:w="100"/>
            </w:tcMar>
          </w:tcPr>
          <w:p>
            <w:pPr>
              <w:spacing w:line="264"/>
              <w:jc w:val="left"/>
            </w:pPr>
            <w:r>
              <w:rPr>
                <w:rFonts w:ascii="Times New Roman" w:eastAsia="SimSun"/>
                <w:b w:val="false"/>
                <w:bCs w:val="false"/>
                <w:color w:val="000000"/>
                <w:sz w:val="20"/>
                <w:szCs w:val="20"/>
              </w:rPr>
              <w:t xml:space="preserve">时间沉没于与 v4.1.2 相同的模式匹配；连续同因拒稿记录</w:t>
            </w:r>
          </w:p>
        </w:tc>
      </w:tr>
    </w:tbl>
    <w:p>
      <w:pPr>
        <w:pStyle w:val="Heading2"/>
        <w:spacing w:after="120" w:before="260" w:line="350" w:lineRule="atLeast"/>
      </w:pPr>
      <w:bookmarkStart w:name="_Toc20" w:id="20"/>
      <w:r>
        <w:rPr>
          <w:rFonts w:ascii="Times New Roman" w:eastAsia="SimHei"/>
          <w:b/>
          <w:bCs/>
          <w:color w:val="0B1C2C"/>
          <w:sz w:val="28"/>
          <w:szCs w:val="28"/>
        </w:rPr>
        <w:t xml:space="preserve">4.2 方案 B：中等改动（预算分配规律）</w:t>
      </w:r>
      <w:bookmarkEnd w:id="20"/>
    </w:p>
    <w:p>
      <w:pPr>
        <w:keepNext/>
        <w:spacing w:after="100" w:before="160" w:line="280"/>
        <w:jc w:val="center"/>
      </w:pPr>
      <w:r>
        <w:rPr>
          <w:rFonts w:ascii="Times New Roman" w:eastAsia="SimHei"/>
          <w:b/>
          <w:bCs/>
          <w:color w:val="404040"/>
          <w:sz w:val="21"/>
          <w:szCs w:val="21"/>
        </w:rPr>
        <w:t xml:space="preserve">表 4-2 方案 B 要素表</w:t>
      </w:r>
    </w:p>
    <w:tbl>
      <w:tblPr>
        <w:tblW w:type="pct" w:w="5000"/>
        <w:tblBorders>
          <w:top w:val="single" w:color="529286" w:sz="6"/>
          <w:left w:val="none" w:color="FFFFFF" w:sz="0"/>
          <w:bottom w:val="single" w:color="529286" w:sz="6"/>
          <w:right w:val="none" w:color="FFFFFF" w:sz="0"/>
          <w:insideH w:val="single" w:color="C8D4D0" w:sz="2"/>
          <w:insideV w:val="none" w:color="FFFFFF" w:sz="0"/>
        </w:tblBorders>
      </w:tblPr>
      <w:tblGrid>
        <w:gridCol w:w="1582"/>
        <w:gridCol w:w="7206"/>
      </w:tblGrid>
      <w:tr>
        <w:trPr>
          <w:cantSplit/>
          <w:tblHeader/>
        </w:trPr>
        <w:tc>
          <w:tcPr>
            <w:tcW w:type="pct" w:w="900"/>
            <w:shd w:fill="529286" w:val="clear"/>
            <w:tcMar>
              <w:top w:type="dxa" w:w="70"/>
              <w:left w:type="dxa" w:w="100"/>
              <w:bottom w:type="dxa" w:w="70"/>
              <w:right w:type="dxa" w:w="100"/>
            </w:tcMar>
          </w:tcPr>
          <w:p>
            <w:pPr>
              <w:spacing w:line="260"/>
              <w:jc w:val="center"/>
            </w:pPr>
            <w:r>
              <w:rPr>
                <w:rFonts w:ascii="Times New Roman" w:eastAsia="SimHei"/>
                <w:b/>
                <w:bCs/>
                <w:color w:val="FFFFFF"/>
                <w:sz w:val="20"/>
                <w:szCs w:val="20"/>
              </w:rPr>
              <w:t xml:space="preserve">要素</w:t>
            </w:r>
          </w:p>
        </w:tc>
        <w:tc>
          <w:tcPr>
            <w:tcW w:type="pct" w:w="4100"/>
            <w:shd w:fill="529286" w:val="clear"/>
            <w:tcMar>
              <w:top w:type="dxa" w:w="70"/>
              <w:left w:type="dxa" w:w="100"/>
              <w:bottom w:type="dxa" w:w="70"/>
              <w:right w:type="dxa" w:w="100"/>
            </w:tcMar>
          </w:tcPr>
          <w:p>
            <w:pPr>
              <w:spacing w:line="260"/>
              <w:jc w:val="center"/>
            </w:pPr>
            <w:r>
              <w:rPr>
                <w:rFonts w:ascii="Times New Roman" w:eastAsia="SimHei"/>
                <w:b/>
                <w:bCs/>
                <w:color w:val="FFFFFF"/>
                <w:sz w:val="20"/>
                <w:szCs w:val="20"/>
              </w:rPr>
              <w:t xml:space="preserve">内容</w:t>
            </w:r>
          </w:p>
        </w:tc>
      </w:tr>
      <w:tr>
        <w:trPr>
          <w:cantSplit/>
        </w:trPr>
        <w:tc>
          <w:tcPr>
            <w:tcW w:type="pct" w:w="900"/>
            <w:tcMar>
              <w:top w:type="dxa" w:w="70"/>
              <w:left w:type="dxa" w:w="100"/>
              <w:bottom w:type="dxa" w:w="70"/>
              <w:right w:type="dxa" w:w="100"/>
            </w:tcMar>
          </w:tcPr>
          <w:p>
            <w:pPr>
              <w:spacing w:line="264"/>
              <w:jc w:val="left"/>
            </w:pPr>
            <w:r>
              <w:rPr>
                <w:rFonts w:ascii="Times New Roman" w:eastAsia="SimSun"/>
                <w:b w:val="false"/>
                <w:bCs w:val="false"/>
                <w:color w:val="000000"/>
                <w:sz w:val="20"/>
                <w:szCs w:val="20"/>
              </w:rPr>
              <w:t xml:space="preserve">研究问题</w:t>
            </w:r>
          </w:p>
        </w:tc>
        <w:tc>
          <w:tcPr>
            <w:tcW w:type="pct" w:w="4100"/>
            <w:tcMar>
              <w:top w:type="dxa" w:w="70"/>
              <w:left w:type="dxa" w:w="100"/>
              <w:bottom w:type="dxa" w:w="70"/>
              <w:right w:type="dxa" w:w="100"/>
            </w:tcMar>
          </w:tcPr>
          <w:p>
            <w:pPr>
              <w:spacing w:line="264"/>
              <w:jc w:val="left"/>
            </w:pPr>
            <w:r>
              <w:rPr>
                <w:rFonts w:ascii="Times New Roman" w:eastAsia="SimSun"/>
                <w:b w:val="false"/>
                <w:bCs w:val="false"/>
                <w:color w:val="000000"/>
                <w:sz w:val="20"/>
                <w:szCs w:val="20"/>
              </w:rPr>
              <w:t xml:space="preserve">固定总预算 B 下，把预算分给多少个成员（k x B/k）使校准最优？最优 k*(B) 如何随 B 移动？NLL-推理成本前沿形状如何？</w:t>
            </w:r>
          </w:p>
        </w:tc>
      </w:tr>
      <w:tr>
        <w:trPr>
          <w:cantSplit/>
        </w:trPr>
        <w:tc>
          <w:tcPr>
            <w:tcW w:type="pct" w:w="900"/>
            <w:shd w:fill="F2F6F5" w:val="clear"/>
            <w:tcMar>
              <w:top w:type="dxa" w:w="70"/>
              <w:left w:type="dxa" w:w="100"/>
              <w:bottom w:type="dxa" w:w="70"/>
              <w:right w:type="dxa" w:w="100"/>
            </w:tcMar>
          </w:tcPr>
          <w:p>
            <w:pPr>
              <w:spacing w:line="264"/>
              <w:jc w:val="left"/>
            </w:pPr>
            <w:r>
              <w:rPr>
                <w:rFonts w:ascii="Times New Roman" w:eastAsia="SimSun"/>
                <w:b w:val="false"/>
                <w:bCs w:val="false"/>
                <w:color w:val="000000"/>
                <w:sz w:val="20"/>
                <w:szCs w:val="20"/>
              </w:rPr>
              <w:t xml:space="preserve">与文献区别</w:t>
            </w:r>
          </w:p>
        </w:tc>
        <w:tc>
          <w:tcPr>
            <w:tcW w:type="pct" w:w="4100"/>
            <w:shd w:fill="F2F6F5" w:val="clear"/>
            <w:tcMar>
              <w:top w:type="dxa" w:w="70"/>
              <w:left w:type="dxa" w:w="100"/>
              <w:bottom w:type="dxa" w:w="70"/>
              <w:right w:type="dxa" w:w="100"/>
            </w:tcMar>
          </w:tcPr>
          <w:p>
            <w:pPr>
              <w:spacing w:line="264"/>
              <w:jc w:val="left"/>
            </w:pPr>
            <w:r>
              <w:rPr>
                <w:rFonts w:ascii="Times New Roman" w:eastAsia="SimSun"/>
                <w:b w:val="false"/>
                <w:bCs w:val="false"/>
                <w:color w:val="000000"/>
                <w:sz w:val="20"/>
                <w:szCs w:val="20"/>
              </w:rPr>
              <w:t xml:space="preserve">Kondratyuk 2020 是容量/FLOPs 轴且无校准端点；Baughman 2019 与 cost-of-ensembling 2025 是应用域精度/分位数端点；无人在校准+OOD 端点上做 k x B 扫描并纳入单轨迹策略</w:t>
            </w:r>
          </w:p>
        </w:tc>
      </w:tr>
      <w:tr>
        <w:trPr>
          <w:cantSplit/>
        </w:trPr>
        <w:tc>
          <w:tcPr>
            <w:tcW w:type="pct" w:w="900"/>
            <w:tcMar>
              <w:top w:type="dxa" w:w="70"/>
              <w:left w:type="dxa" w:w="100"/>
              <w:bottom w:type="dxa" w:w="70"/>
              <w:right w:type="dxa" w:w="100"/>
            </w:tcMar>
          </w:tcPr>
          <w:p>
            <w:pPr>
              <w:spacing w:line="264"/>
              <w:jc w:val="left"/>
            </w:pPr>
            <w:r>
              <w:rPr>
                <w:rFonts w:ascii="Times New Roman" w:eastAsia="SimSun"/>
                <w:b w:val="false"/>
                <w:bCs w:val="false"/>
                <w:color w:val="000000"/>
                <w:sz w:val="20"/>
                <w:szCs w:val="20"/>
              </w:rPr>
              <w:t xml:space="preserve">核心假设</w:t>
            </w:r>
          </w:p>
        </w:tc>
        <w:tc>
          <w:tcPr>
            <w:tcW w:type="pct" w:w="4100"/>
            <w:tcMar>
              <w:top w:type="dxa" w:w="70"/>
              <w:left w:type="dxa" w:w="100"/>
              <w:bottom w:type="dxa" w:w="70"/>
              <w:right w:type="dxa" w:w="100"/>
            </w:tcMar>
          </w:tcPr>
          <w:p>
            <w:pPr>
              <w:spacing w:line="264"/>
              <w:jc w:val="left"/>
            </w:pPr>
            <w:r>
              <w:rPr>
                <w:rFonts w:ascii="Times New Roman" w:eastAsia="SimSun"/>
                <w:b w:val="false"/>
                <w:bCs w:val="false"/>
                <w:color w:val="000000"/>
                <w:sz w:val="20"/>
                <w:szCs w:val="20"/>
              </w:rPr>
              <w:t xml:space="preserve">H1：NLL 最优 k 随 B 增大（预算越大越养得起多样性）；H2：ECE 最优 k 与 NLL 基本一致；H3：Snapshot/SWA 相对 DeepEns 的缺口对 k 不敏感（组合机制而非成员数效应）</w:t>
            </w:r>
          </w:p>
        </w:tc>
      </w:tr>
      <w:tr>
        <w:trPr>
          <w:cantSplit/>
        </w:trPr>
        <w:tc>
          <w:tcPr>
            <w:tcW w:type="pct" w:w="900"/>
            <w:shd w:fill="F2F6F5" w:val="clear"/>
            <w:tcMar>
              <w:top w:type="dxa" w:w="70"/>
              <w:left w:type="dxa" w:w="100"/>
              <w:bottom w:type="dxa" w:w="70"/>
              <w:right w:type="dxa" w:w="100"/>
            </w:tcMar>
          </w:tcPr>
          <w:p>
            <w:pPr>
              <w:spacing w:line="264"/>
              <w:jc w:val="left"/>
            </w:pPr>
            <w:r>
              <w:rPr>
                <w:rFonts w:ascii="Times New Roman" w:eastAsia="SimSun"/>
                <w:b w:val="false"/>
                <w:bCs w:val="false"/>
                <w:color w:val="000000"/>
                <w:sz w:val="20"/>
                <w:szCs w:val="20"/>
              </w:rPr>
              <w:t xml:space="preserve">可证伪预测</w:t>
            </w:r>
          </w:p>
        </w:tc>
        <w:tc>
          <w:tcPr>
            <w:tcW w:type="pct" w:w="4100"/>
            <w:shd w:fill="F2F6F5" w:val="clear"/>
            <w:tcMar>
              <w:top w:type="dxa" w:w="70"/>
              <w:left w:type="dxa" w:w="100"/>
              <w:bottom w:type="dxa" w:w="70"/>
              <w:right w:type="dxa" w:w="100"/>
            </w:tcMar>
          </w:tcPr>
          <w:p>
            <w:pPr>
              <w:spacing w:line="264"/>
              <w:jc w:val="left"/>
            </w:pPr>
            <w:r>
              <w:rPr>
                <w:rFonts w:ascii="Times New Roman" w:eastAsia="SimSun"/>
                <w:b w:val="false"/>
                <w:bCs w:val="false"/>
                <w:color w:val="000000"/>
                <w:sz w:val="20"/>
                <w:szCs w:val="20"/>
              </w:rPr>
              <w:t xml:space="preserve">若 NLL(k) 在各 B 下对 k&gt;=2 平坦无结构，或 k*(B) 无内部最优且随 B 递减，则 H1 被证伪；若 DE-SN 缺口随 k 明显变化，则 H3 被证伪</w:t>
            </w:r>
          </w:p>
        </w:tc>
      </w:tr>
      <w:tr>
        <w:trPr>
          <w:cantSplit/>
        </w:trPr>
        <w:tc>
          <w:tcPr>
            <w:tcW w:type="pct" w:w="900"/>
            <w:tcMar>
              <w:top w:type="dxa" w:w="70"/>
              <w:left w:type="dxa" w:w="100"/>
              <w:bottom w:type="dxa" w:w="70"/>
              <w:right w:type="dxa" w:w="100"/>
            </w:tcMar>
          </w:tcPr>
          <w:p>
            <w:pPr>
              <w:spacing w:line="264"/>
              <w:jc w:val="left"/>
            </w:pPr>
            <w:r>
              <w:rPr>
                <w:rFonts w:ascii="Times New Roman" w:eastAsia="SimSun"/>
                <w:b w:val="false"/>
                <w:bCs w:val="false"/>
                <w:color w:val="000000"/>
                <w:sz w:val="20"/>
                <w:szCs w:val="20"/>
              </w:rPr>
              <w:t xml:space="preserve">必要实验</w:t>
            </w:r>
          </w:p>
        </w:tc>
        <w:tc>
          <w:tcPr>
            <w:tcW w:type="pct" w:w="4100"/>
            <w:tcMar>
              <w:top w:type="dxa" w:w="70"/>
              <w:left w:type="dxa" w:w="100"/>
              <w:bottom w:type="dxa" w:w="70"/>
              <w:right w:type="dxa" w:w="100"/>
            </w:tcMar>
          </w:tcPr>
          <w:p>
            <w:pPr>
              <w:spacing w:line="264"/>
              <w:jc w:val="left"/>
            </w:pPr>
            <w:r>
              <w:rPr>
                <w:rFonts w:ascii="Times New Roman" w:eastAsia="SimSun"/>
                <w:b w:val="false"/>
                <w:bCs w:val="false"/>
                <w:color w:val="000000"/>
                <w:sz w:val="20"/>
                <w:szCs w:val="20"/>
              </w:rPr>
              <w:t xml:space="preserve">FMNIST 补 k=2/8 于 B=30/60/120（k5 于 B60 已有，k3 全有）：8 个新配置 x 10 种子，约 13 小时 CPU；MNIST 与 CIFAR 各补 k=2/5 于 B=60：4 个配置，约 5 小时 CPU</w:t>
            </w:r>
          </w:p>
        </w:tc>
      </w:tr>
      <w:tr>
        <w:trPr>
          <w:cantSplit/>
        </w:trPr>
        <w:tc>
          <w:tcPr>
            <w:tcW w:type="pct" w:w="900"/>
            <w:shd w:fill="F2F6F5" w:val="clear"/>
            <w:tcMar>
              <w:top w:type="dxa" w:w="70"/>
              <w:left w:type="dxa" w:w="100"/>
              <w:bottom w:type="dxa" w:w="70"/>
              <w:right w:type="dxa" w:w="100"/>
            </w:tcMar>
          </w:tcPr>
          <w:p>
            <w:pPr>
              <w:spacing w:line="264"/>
              <w:jc w:val="left"/>
            </w:pPr>
            <w:r>
              <w:rPr>
                <w:rFonts w:ascii="Times New Roman" w:eastAsia="SimSun"/>
                <w:b w:val="false"/>
                <w:bCs w:val="false"/>
                <w:color w:val="000000"/>
                <w:sz w:val="20"/>
                <w:szCs w:val="20"/>
              </w:rPr>
              <w:t xml:space="preserve">对照方法</w:t>
            </w:r>
          </w:p>
        </w:tc>
        <w:tc>
          <w:tcPr>
            <w:tcW w:type="pct" w:w="4100"/>
            <w:shd w:fill="F2F6F5" w:val="clear"/>
            <w:tcMar>
              <w:top w:type="dxa" w:w="70"/>
              <w:left w:type="dxa" w:w="100"/>
              <w:bottom w:type="dxa" w:w="70"/>
              <w:right w:type="dxa" w:w="100"/>
            </w:tcMar>
          </w:tcPr>
          <w:p>
            <w:pPr>
              <w:spacing w:line="264"/>
              <w:jc w:val="left"/>
            </w:pPr>
            <w:r>
              <w:rPr>
                <w:rFonts w:ascii="Times New Roman" w:eastAsia="SimSun"/>
                <w:b w:val="false"/>
                <w:bCs w:val="false"/>
                <w:color w:val="000000"/>
                <w:sz w:val="20"/>
                <w:szCs w:val="20"/>
              </w:rPr>
              <w:t xml:space="preserve">每个 (k,B) 格点内四条件全套（Single 不变；快照/权重平均按 k 个快照组织循环）</w:t>
            </w:r>
          </w:p>
        </w:tc>
      </w:tr>
      <w:tr>
        <w:trPr>
          <w:cantSplit/>
        </w:trPr>
        <w:tc>
          <w:tcPr>
            <w:tcW w:type="pct" w:w="900"/>
            <w:tcMar>
              <w:top w:type="dxa" w:w="70"/>
              <w:left w:type="dxa" w:w="100"/>
              <w:bottom w:type="dxa" w:w="70"/>
              <w:right w:type="dxa" w:w="100"/>
            </w:tcMar>
          </w:tcPr>
          <w:p>
            <w:pPr>
              <w:spacing w:line="264"/>
              <w:jc w:val="left"/>
            </w:pPr>
            <w:r>
              <w:rPr>
                <w:rFonts w:ascii="Times New Roman" w:eastAsia="SimSun"/>
                <w:b w:val="false"/>
                <w:bCs w:val="false"/>
                <w:color w:val="000000"/>
                <w:sz w:val="20"/>
                <w:szCs w:val="20"/>
              </w:rPr>
              <w:t xml:space="preserve">数据集与模型</w:t>
            </w:r>
          </w:p>
        </w:tc>
        <w:tc>
          <w:tcPr>
            <w:tcW w:type="pct" w:w="4100"/>
            <w:tcMar>
              <w:top w:type="dxa" w:w="70"/>
              <w:left w:type="dxa" w:w="100"/>
              <w:bottom w:type="dxa" w:w="70"/>
              <w:right w:type="dxa" w:w="100"/>
            </w:tcMar>
          </w:tcPr>
          <w:p>
            <w:pPr>
              <w:spacing w:line="264"/>
              <w:jc w:val="left"/>
            </w:pPr>
            <w:r>
              <w:rPr>
                <w:rFonts w:ascii="Times New Roman" w:eastAsia="SimSun"/>
                <w:b w:val="false"/>
                <w:bCs w:val="false"/>
                <w:color w:val="000000"/>
                <w:sz w:val="20"/>
                <w:szCs w:val="20"/>
              </w:rPr>
              <w:t xml:space="preserve">不变；CIFAR 仍为小 CNN（规模化留给方案 C 或审稿响应）</w:t>
            </w:r>
          </w:p>
        </w:tc>
      </w:tr>
      <w:tr>
        <w:trPr>
          <w:cantSplit/>
        </w:trPr>
        <w:tc>
          <w:tcPr>
            <w:tcW w:type="pct" w:w="900"/>
            <w:shd w:fill="F2F6F5" w:val="clear"/>
            <w:tcMar>
              <w:top w:type="dxa" w:w="70"/>
              <w:left w:type="dxa" w:w="100"/>
              <w:bottom w:type="dxa" w:w="70"/>
              <w:right w:type="dxa" w:w="100"/>
            </w:tcMar>
          </w:tcPr>
          <w:p>
            <w:pPr>
              <w:spacing w:line="264"/>
              <w:jc w:val="left"/>
            </w:pPr>
            <w:r>
              <w:rPr>
                <w:rFonts w:ascii="Times New Roman" w:eastAsia="SimSun"/>
                <w:b w:val="false"/>
                <w:bCs w:val="false"/>
                <w:color w:val="000000"/>
                <w:sz w:val="20"/>
                <w:szCs w:val="20"/>
              </w:rPr>
              <w:t xml:space="preserve">统计分析计划</w:t>
            </w:r>
          </w:p>
        </w:tc>
        <w:tc>
          <w:tcPr>
            <w:tcW w:type="pct" w:w="4100"/>
            <w:shd w:fill="F2F6F5" w:val="clear"/>
            <w:tcMar>
              <w:top w:type="dxa" w:w="70"/>
              <w:left w:type="dxa" w:w="100"/>
              <w:bottom w:type="dxa" w:w="70"/>
              <w:right w:type="dxa" w:w="100"/>
            </w:tcMar>
          </w:tcPr>
          <w:p>
            <w:pPr>
              <w:spacing w:line="264"/>
              <w:jc w:val="left"/>
            </w:pPr>
            <w:r>
              <w:rPr>
                <w:rFonts w:ascii="Times New Roman" w:eastAsia="SimSun"/>
                <w:b w:val="false"/>
                <w:bCs w:val="false"/>
                <w:color w:val="000000"/>
                <w:sz w:val="20"/>
                <w:szCs w:val="20"/>
              </w:rPr>
              <w:t xml:space="preserve">预注册：每个 B 下 {k=2 vs 3, 3 vs 5, 5 vs 8} 的 NLL 对比族（Holm 校正）+ 跨 k 趋势的 Page 型检验；ECE/OOD 为次级；写作前锁存</w:t>
            </w:r>
          </w:p>
        </w:tc>
      </w:tr>
      <w:tr>
        <w:trPr>
          <w:cantSplit/>
        </w:trPr>
        <w:tc>
          <w:tcPr>
            <w:tcW w:type="pct" w:w="900"/>
            <w:tcMar>
              <w:top w:type="dxa" w:w="70"/>
              <w:left w:type="dxa" w:w="100"/>
              <w:bottom w:type="dxa" w:w="70"/>
              <w:right w:type="dxa" w:w="100"/>
            </w:tcMar>
          </w:tcPr>
          <w:p>
            <w:pPr>
              <w:spacing w:line="264"/>
              <w:jc w:val="left"/>
            </w:pPr>
            <w:r>
              <w:rPr>
                <w:rFonts w:ascii="Times New Roman" w:eastAsia="SimSun"/>
                <w:b w:val="false"/>
                <w:bCs w:val="false"/>
                <w:color w:val="000000"/>
                <w:sz w:val="20"/>
                <w:szCs w:val="20"/>
              </w:rPr>
              <w:t xml:space="preserve">预期失败条件</w:t>
            </w:r>
          </w:p>
        </w:tc>
        <w:tc>
          <w:tcPr>
            <w:tcW w:type="pct" w:w="4100"/>
            <w:tcMar>
              <w:top w:type="dxa" w:w="70"/>
              <w:left w:type="dxa" w:w="100"/>
              <w:bottom w:type="dxa" w:w="70"/>
              <w:right w:type="dxa" w:w="100"/>
            </w:tcMar>
          </w:tcPr>
          <w:p>
            <w:pPr>
              <w:spacing w:line="264"/>
              <w:jc w:val="left"/>
            </w:pPr>
            <w:r>
              <w:rPr>
                <w:rFonts w:ascii="Times New Roman" w:eastAsia="SimSun"/>
                <w:b w:val="false"/>
                <w:bCs w:val="false"/>
                <w:color w:val="000000"/>
                <w:sz w:val="20"/>
                <w:szCs w:val="20"/>
              </w:rPr>
              <w:t xml:space="preserve">平坦 NLL(k)（此时论文降级为任何 k&gt;=2 均可的决策规则——弱化但可发表）；或规律被指与已知边际收益递减文献无实质区别</w:t>
            </w:r>
          </w:p>
        </w:tc>
      </w:tr>
      <w:tr>
        <w:trPr>
          <w:cantSplit/>
        </w:trPr>
        <w:tc>
          <w:tcPr>
            <w:tcW w:type="pct" w:w="900"/>
            <w:shd w:fill="F2F6F5" w:val="clear"/>
            <w:tcMar>
              <w:top w:type="dxa" w:w="70"/>
              <w:left w:type="dxa" w:w="100"/>
              <w:bottom w:type="dxa" w:w="70"/>
              <w:right w:type="dxa" w:w="100"/>
            </w:tcMar>
          </w:tcPr>
          <w:p>
            <w:pPr>
              <w:spacing w:line="264"/>
              <w:jc w:val="left"/>
            </w:pPr>
            <w:r>
              <w:rPr>
                <w:rFonts w:ascii="Times New Roman" w:eastAsia="SimSun"/>
                <w:b w:val="false"/>
                <w:bCs w:val="false"/>
                <w:color w:val="000000"/>
                <w:sz w:val="20"/>
                <w:szCs w:val="20"/>
              </w:rPr>
              <w:t xml:space="preserve">时间与资源</w:t>
            </w:r>
          </w:p>
        </w:tc>
        <w:tc>
          <w:tcPr>
            <w:tcW w:type="pct" w:w="4100"/>
            <w:shd w:fill="F2F6F5" w:val="clear"/>
            <w:tcMar>
              <w:top w:type="dxa" w:w="70"/>
              <w:left w:type="dxa" w:w="100"/>
              <w:bottom w:type="dxa" w:w="70"/>
              <w:right w:type="dxa" w:w="100"/>
            </w:tcMar>
          </w:tcPr>
          <w:p>
            <w:pPr>
              <w:spacing w:line="264"/>
              <w:jc w:val="left"/>
            </w:pPr>
            <w:r>
              <w:rPr>
                <w:rFonts w:ascii="Times New Roman" w:eastAsia="SimSun"/>
                <w:b w:val="false"/>
                <w:bCs w:val="false"/>
                <w:color w:val="000000"/>
                <w:sz w:val="20"/>
                <w:szCs w:val="20"/>
              </w:rPr>
              <w:t xml:space="preserve">实验+分析约 1 周；写作 2 至 3 周；总计 4 至 6 周；纯 CPU</w:t>
            </w:r>
          </w:p>
        </w:tc>
      </w:tr>
      <w:tr>
        <w:trPr>
          <w:cantSplit/>
        </w:trPr>
        <w:tc>
          <w:tcPr>
            <w:tcW w:type="pct" w:w="900"/>
            <w:tcMar>
              <w:top w:type="dxa" w:w="70"/>
              <w:left w:type="dxa" w:w="100"/>
              <w:bottom w:type="dxa" w:w="70"/>
              <w:right w:type="dxa" w:w="100"/>
            </w:tcMar>
          </w:tcPr>
          <w:p>
            <w:pPr>
              <w:spacing w:line="264"/>
              <w:jc w:val="left"/>
            </w:pPr>
            <w:r>
              <w:rPr>
                <w:rFonts w:ascii="Times New Roman" w:eastAsia="SimSun"/>
                <w:b w:val="false"/>
                <w:bCs w:val="false"/>
                <w:color w:val="000000"/>
                <w:sz w:val="20"/>
                <w:szCs w:val="20"/>
              </w:rPr>
              <w:t xml:space="preserve">最大风险</w:t>
            </w:r>
          </w:p>
        </w:tc>
        <w:tc>
          <w:tcPr>
            <w:tcW w:type="pct" w:w="4100"/>
            <w:tcMar>
              <w:top w:type="dxa" w:w="70"/>
              <w:left w:type="dxa" w:w="100"/>
              <w:bottom w:type="dxa" w:w="70"/>
              <w:right w:type="dxa" w:w="100"/>
            </w:tcMar>
          </w:tcPr>
          <w:p>
            <w:pPr>
              <w:spacing w:line="264"/>
              <w:jc w:val="left"/>
            </w:pPr>
            <w:r>
              <w:rPr>
                <w:rFonts w:ascii="Times New Roman" w:eastAsia="SimSun"/>
                <w:b w:val="false"/>
                <w:bCs w:val="false"/>
                <w:color w:val="000000"/>
                <w:sz w:val="20"/>
                <w:szCs w:val="20"/>
              </w:rPr>
              <w:t xml:space="preserve">被审稿人读成超参数扫描而非科学问题；缓解靠预注册假设与决策规则化表述</w:t>
            </w:r>
          </w:p>
        </w:tc>
      </w:tr>
    </w:tbl>
    <w:p>
      <w:pPr>
        <w:pStyle w:val="Heading2"/>
        <w:spacing w:after="120" w:before="260" w:line="350" w:lineRule="atLeast"/>
      </w:pPr>
      <w:bookmarkStart w:name="_Toc21" w:id="21"/>
      <w:r>
        <w:rPr>
          <w:rFonts w:ascii="Times New Roman" w:eastAsia="SimHei"/>
          <w:b/>
          <w:bCs/>
          <w:color w:val="0B1C2C"/>
          <w:sz w:val="28"/>
          <w:szCs w:val="28"/>
        </w:rPr>
        <w:t xml:space="preserve">4.3 方案 C：高投入（校准感知的预算分配算法）</w:t>
      </w:r>
      <w:bookmarkEnd w:id="21"/>
    </w:p>
    <w:p>
      <w:pPr>
        <w:keepNext/>
        <w:spacing w:after="100" w:before="160" w:line="280"/>
        <w:jc w:val="center"/>
      </w:pPr>
      <w:r>
        <w:rPr>
          <w:rFonts w:ascii="Times New Roman" w:eastAsia="SimHei"/>
          <w:b/>
          <w:bCs/>
          <w:color w:val="404040"/>
          <w:sz w:val="21"/>
          <w:szCs w:val="21"/>
        </w:rPr>
        <w:t xml:space="preserve">表 4-3 方案 C 要素表</w:t>
      </w:r>
    </w:p>
    <w:tbl>
      <w:tblPr>
        <w:tblW w:type="pct" w:w="5000"/>
        <w:tblBorders>
          <w:top w:val="single" w:color="529286" w:sz="6"/>
          <w:left w:val="none" w:color="FFFFFF" w:sz="0"/>
          <w:bottom w:val="single" w:color="529286" w:sz="6"/>
          <w:right w:val="none" w:color="FFFFFF" w:sz="0"/>
          <w:insideH w:val="single" w:color="C8D4D0" w:sz="2"/>
          <w:insideV w:val="none" w:color="FFFFFF" w:sz="0"/>
        </w:tblBorders>
      </w:tblPr>
      <w:tblGrid>
        <w:gridCol w:w="1582"/>
        <w:gridCol w:w="7206"/>
      </w:tblGrid>
      <w:tr>
        <w:trPr>
          <w:cantSplit/>
          <w:tblHeader/>
        </w:trPr>
        <w:tc>
          <w:tcPr>
            <w:tcW w:type="pct" w:w="900"/>
            <w:shd w:fill="529286" w:val="clear"/>
            <w:tcMar>
              <w:top w:type="dxa" w:w="70"/>
              <w:left w:type="dxa" w:w="100"/>
              <w:bottom w:type="dxa" w:w="70"/>
              <w:right w:type="dxa" w:w="100"/>
            </w:tcMar>
          </w:tcPr>
          <w:p>
            <w:pPr>
              <w:spacing w:line="260"/>
              <w:jc w:val="center"/>
            </w:pPr>
            <w:r>
              <w:rPr>
                <w:rFonts w:ascii="Times New Roman" w:eastAsia="SimHei"/>
                <w:b/>
                <w:bCs/>
                <w:color w:val="FFFFFF"/>
                <w:sz w:val="20"/>
                <w:szCs w:val="20"/>
              </w:rPr>
              <w:t xml:space="preserve">要素</w:t>
            </w:r>
          </w:p>
        </w:tc>
        <w:tc>
          <w:tcPr>
            <w:tcW w:type="pct" w:w="4100"/>
            <w:shd w:fill="529286" w:val="clear"/>
            <w:tcMar>
              <w:top w:type="dxa" w:w="70"/>
              <w:left w:type="dxa" w:w="100"/>
              <w:bottom w:type="dxa" w:w="70"/>
              <w:right w:type="dxa" w:w="100"/>
            </w:tcMar>
          </w:tcPr>
          <w:p>
            <w:pPr>
              <w:spacing w:line="260"/>
              <w:jc w:val="center"/>
            </w:pPr>
            <w:r>
              <w:rPr>
                <w:rFonts w:ascii="Times New Roman" w:eastAsia="SimHei"/>
                <w:b/>
                <w:bCs/>
                <w:color w:val="FFFFFF"/>
                <w:sz w:val="20"/>
                <w:szCs w:val="20"/>
              </w:rPr>
              <w:t xml:space="preserve">内容</w:t>
            </w:r>
          </w:p>
        </w:tc>
      </w:tr>
      <w:tr>
        <w:trPr>
          <w:cantSplit/>
        </w:trPr>
        <w:tc>
          <w:tcPr>
            <w:tcW w:type="pct" w:w="900"/>
            <w:tcMar>
              <w:top w:type="dxa" w:w="70"/>
              <w:left w:type="dxa" w:w="100"/>
              <w:bottom w:type="dxa" w:w="70"/>
              <w:right w:type="dxa" w:w="100"/>
            </w:tcMar>
          </w:tcPr>
          <w:p>
            <w:pPr>
              <w:spacing w:line="264"/>
              <w:jc w:val="left"/>
            </w:pPr>
            <w:r>
              <w:rPr>
                <w:rFonts w:ascii="Times New Roman" w:eastAsia="SimSun"/>
                <w:b w:val="false"/>
                <w:bCs w:val="false"/>
                <w:color w:val="000000"/>
                <w:sz w:val="20"/>
                <w:szCs w:val="20"/>
              </w:rPr>
              <w:t xml:space="preserve">研究问题</w:t>
            </w:r>
          </w:p>
        </w:tc>
        <w:tc>
          <w:tcPr>
            <w:tcW w:type="pct" w:w="4100"/>
            <w:tcMar>
              <w:top w:type="dxa" w:w="70"/>
              <w:left w:type="dxa" w:w="100"/>
              <w:bottom w:type="dxa" w:w="70"/>
              <w:right w:type="dxa" w:w="100"/>
            </w:tcMar>
          </w:tcPr>
          <w:p>
            <w:pPr>
              <w:spacing w:line="264"/>
              <w:jc w:val="left"/>
            </w:pPr>
            <w:r>
              <w:rPr>
                <w:rFonts w:ascii="Times New Roman" w:eastAsia="SimSun"/>
                <w:b w:val="false"/>
                <w:bCs w:val="false"/>
                <w:color w:val="000000"/>
                <w:sz w:val="20"/>
                <w:szCs w:val="20"/>
              </w:rPr>
              <w:t xml:space="preserve">能否用训练内信号（验证校准的边际增益、成员间分歧）在线决定何时终止当前成员并重启，使固定预算下的校准优于任何固定 k 分配</w:t>
            </w:r>
          </w:p>
        </w:tc>
      </w:tr>
      <w:tr>
        <w:trPr>
          <w:cantSplit/>
        </w:trPr>
        <w:tc>
          <w:tcPr>
            <w:tcW w:type="pct" w:w="900"/>
            <w:shd w:fill="F2F6F5" w:val="clear"/>
            <w:tcMar>
              <w:top w:type="dxa" w:w="70"/>
              <w:left w:type="dxa" w:w="100"/>
              <w:bottom w:type="dxa" w:w="70"/>
              <w:right w:type="dxa" w:w="100"/>
            </w:tcMar>
          </w:tcPr>
          <w:p>
            <w:pPr>
              <w:spacing w:line="264"/>
              <w:jc w:val="left"/>
            </w:pPr>
            <w:r>
              <w:rPr>
                <w:rFonts w:ascii="Times New Roman" w:eastAsia="SimSun"/>
                <w:b w:val="false"/>
                <w:bCs w:val="false"/>
                <w:color w:val="000000"/>
                <w:sz w:val="20"/>
                <w:szCs w:val="20"/>
              </w:rPr>
              <w:t xml:space="preserve">与文献区别</w:t>
            </w:r>
          </w:p>
        </w:tc>
        <w:tc>
          <w:tcPr>
            <w:tcW w:type="pct" w:w="4100"/>
            <w:shd w:fill="F2F6F5" w:val="clear"/>
            <w:tcMar>
              <w:top w:type="dxa" w:w="70"/>
              <w:left w:type="dxa" w:w="100"/>
              <w:bottom w:type="dxa" w:w="70"/>
              <w:right w:type="dxa" w:w="100"/>
            </w:tcMar>
          </w:tcPr>
          <w:p>
            <w:pPr>
              <w:spacing w:line="264"/>
              <w:jc w:val="left"/>
            </w:pPr>
            <w:r>
              <w:rPr>
                <w:rFonts w:ascii="Times New Roman" w:eastAsia="SimSun"/>
                <w:b w:val="false"/>
                <w:bCs w:val="false"/>
                <w:color w:val="000000"/>
                <w:sz w:val="20"/>
                <w:szCs w:val="20"/>
              </w:rPr>
              <w:t xml:space="preserve">自适应集成构造与早停各有文献（集成选择、Hyperband 族），校准目标+预算分配的组合需要一轮专门检索确认空位（实施第一步）</w:t>
            </w:r>
          </w:p>
        </w:tc>
      </w:tr>
      <w:tr>
        <w:trPr>
          <w:cantSplit/>
        </w:trPr>
        <w:tc>
          <w:tcPr>
            <w:tcW w:type="pct" w:w="900"/>
            <w:tcMar>
              <w:top w:type="dxa" w:w="70"/>
              <w:left w:type="dxa" w:w="100"/>
              <w:bottom w:type="dxa" w:w="70"/>
              <w:right w:type="dxa" w:w="100"/>
            </w:tcMar>
          </w:tcPr>
          <w:p>
            <w:pPr>
              <w:spacing w:line="264"/>
              <w:jc w:val="left"/>
            </w:pPr>
            <w:r>
              <w:rPr>
                <w:rFonts w:ascii="Times New Roman" w:eastAsia="SimSun"/>
                <w:b w:val="false"/>
                <w:bCs w:val="false"/>
                <w:color w:val="000000"/>
                <w:sz w:val="20"/>
                <w:szCs w:val="20"/>
              </w:rPr>
              <w:t xml:space="preserve">核心假设</w:t>
            </w:r>
          </w:p>
        </w:tc>
        <w:tc>
          <w:tcPr>
            <w:tcW w:type="pct" w:w="4100"/>
            <w:tcMar>
              <w:top w:type="dxa" w:w="70"/>
              <w:left w:type="dxa" w:w="100"/>
              <w:bottom w:type="dxa" w:w="70"/>
              <w:right w:type="dxa" w:w="100"/>
            </w:tcMar>
          </w:tcPr>
          <w:p>
            <w:pPr>
              <w:spacing w:line="264"/>
              <w:jc w:val="left"/>
            </w:pPr>
            <w:r>
              <w:rPr>
                <w:rFonts w:ascii="Times New Roman" w:eastAsia="SimSun"/>
                <w:b w:val="false"/>
                <w:bCs w:val="false"/>
                <w:color w:val="000000"/>
                <w:sz w:val="20"/>
                <w:szCs w:val="20"/>
              </w:rPr>
              <w:t xml:space="preserve">H：贪婪校准边际增益分配 &gt;= 任意固定 k（在测得的 (k,B) 格点上）</w:t>
            </w:r>
          </w:p>
        </w:tc>
      </w:tr>
      <w:tr>
        <w:trPr>
          <w:cantSplit/>
        </w:trPr>
        <w:tc>
          <w:tcPr>
            <w:tcW w:type="pct" w:w="900"/>
            <w:shd w:fill="F2F6F5" w:val="clear"/>
            <w:tcMar>
              <w:top w:type="dxa" w:w="70"/>
              <w:left w:type="dxa" w:w="100"/>
              <w:bottom w:type="dxa" w:w="70"/>
              <w:right w:type="dxa" w:w="100"/>
            </w:tcMar>
          </w:tcPr>
          <w:p>
            <w:pPr>
              <w:spacing w:line="264"/>
              <w:jc w:val="left"/>
            </w:pPr>
            <w:r>
              <w:rPr>
                <w:rFonts w:ascii="Times New Roman" w:eastAsia="SimSun"/>
                <w:b w:val="false"/>
                <w:bCs w:val="false"/>
                <w:color w:val="000000"/>
                <w:sz w:val="20"/>
                <w:szCs w:val="20"/>
              </w:rPr>
              <w:t xml:space="preserve">可证伪预测</w:t>
            </w:r>
          </w:p>
        </w:tc>
        <w:tc>
          <w:tcPr>
            <w:tcW w:type="pct" w:w="4100"/>
            <w:shd w:fill="F2F6F5" w:val="clear"/>
            <w:tcMar>
              <w:top w:type="dxa" w:w="70"/>
              <w:left w:type="dxa" w:w="100"/>
              <w:bottom w:type="dxa" w:w="70"/>
              <w:right w:type="dxa" w:w="100"/>
            </w:tcMar>
          </w:tcPr>
          <w:p>
            <w:pPr>
              <w:spacing w:line="264"/>
              <w:jc w:val="left"/>
            </w:pPr>
            <w:r>
              <w:rPr>
                <w:rFonts w:ascii="Times New Roman" w:eastAsia="SimSun"/>
                <w:b w:val="false"/>
                <w:bCs w:val="false"/>
                <w:color w:val="000000"/>
                <w:sz w:val="20"/>
                <w:szCs w:val="20"/>
              </w:rPr>
              <w:t xml:space="preserve">配对检验下控制器不劣于最优固定 k 即证伪 H；次级预测：控制器在 B 大时倾向更多成员</w:t>
            </w:r>
          </w:p>
        </w:tc>
      </w:tr>
      <w:tr>
        <w:trPr>
          <w:cantSplit/>
        </w:trPr>
        <w:tc>
          <w:tcPr>
            <w:tcW w:type="pct" w:w="900"/>
            <w:tcMar>
              <w:top w:type="dxa" w:w="70"/>
              <w:left w:type="dxa" w:w="100"/>
              <w:bottom w:type="dxa" w:w="70"/>
              <w:right w:type="dxa" w:w="100"/>
            </w:tcMar>
          </w:tcPr>
          <w:p>
            <w:pPr>
              <w:spacing w:line="264"/>
              <w:jc w:val="left"/>
            </w:pPr>
            <w:r>
              <w:rPr>
                <w:rFonts w:ascii="Times New Roman" w:eastAsia="SimSun"/>
                <w:b w:val="false"/>
                <w:bCs w:val="false"/>
                <w:color w:val="000000"/>
                <w:sz w:val="20"/>
                <w:szCs w:val="20"/>
              </w:rPr>
              <w:t xml:space="preserve">必要实验</w:t>
            </w:r>
          </w:p>
        </w:tc>
        <w:tc>
          <w:tcPr>
            <w:tcW w:type="pct" w:w="4100"/>
            <w:tcMar>
              <w:top w:type="dxa" w:w="70"/>
              <w:left w:type="dxa" w:w="100"/>
              <w:bottom w:type="dxa" w:w="70"/>
              <w:right w:type="dxa" w:w="100"/>
            </w:tcMar>
          </w:tcPr>
          <w:p>
            <w:pPr>
              <w:spacing w:line="264"/>
              <w:jc w:val="left"/>
            </w:pPr>
            <w:r>
              <w:rPr>
                <w:rFonts w:ascii="Times New Roman" w:eastAsia="SimSun"/>
                <w:b w:val="false"/>
                <w:bCs w:val="false"/>
                <w:color w:val="000000"/>
                <w:sz w:val="20"/>
                <w:szCs w:val="20"/>
              </w:rPr>
              <w:t xml:space="preserve">控制器实现与调参；对照全部固定 k；先小规模后 WRN-16-4/CIFAR-100 验证（需 GPU 数天）</w:t>
            </w:r>
          </w:p>
        </w:tc>
      </w:tr>
      <w:tr>
        <w:trPr>
          <w:cantSplit/>
        </w:trPr>
        <w:tc>
          <w:tcPr>
            <w:tcW w:type="pct" w:w="900"/>
            <w:shd w:fill="F2F6F5" w:val="clear"/>
            <w:tcMar>
              <w:top w:type="dxa" w:w="70"/>
              <w:left w:type="dxa" w:w="100"/>
              <w:bottom w:type="dxa" w:w="70"/>
              <w:right w:type="dxa" w:w="100"/>
            </w:tcMar>
          </w:tcPr>
          <w:p>
            <w:pPr>
              <w:spacing w:line="264"/>
              <w:jc w:val="left"/>
            </w:pPr>
            <w:r>
              <w:rPr>
                <w:rFonts w:ascii="Times New Roman" w:eastAsia="SimSun"/>
                <w:b w:val="false"/>
                <w:bCs w:val="false"/>
                <w:color w:val="000000"/>
                <w:sz w:val="20"/>
                <w:szCs w:val="20"/>
              </w:rPr>
              <w:t xml:space="preserve">对照方法</w:t>
            </w:r>
          </w:p>
        </w:tc>
        <w:tc>
          <w:tcPr>
            <w:tcW w:type="pct" w:w="4100"/>
            <w:shd w:fill="F2F6F5" w:val="clear"/>
            <w:tcMar>
              <w:top w:type="dxa" w:w="70"/>
              <w:left w:type="dxa" w:w="100"/>
              <w:bottom w:type="dxa" w:w="70"/>
              <w:right w:type="dxa" w:w="100"/>
            </w:tcMar>
          </w:tcPr>
          <w:p>
            <w:pPr>
              <w:spacing w:line="264"/>
              <w:jc w:val="left"/>
            </w:pPr>
            <w:r>
              <w:rPr>
                <w:rFonts w:ascii="Times New Roman" w:eastAsia="SimSun"/>
                <w:b w:val="false"/>
                <w:bCs w:val="false"/>
                <w:color w:val="000000"/>
                <w:sz w:val="20"/>
                <w:szCs w:val="20"/>
              </w:rPr>
              <w:t xml:space="preserve">全部固定 k 格点 + Single + Snapshot/SWA；消融：只用分歧信号、只用校准信号</w:t>
            </w:r>
          </w:p>
        </w:tc>
      </w:tr>
      <w:tr>
        <w:trPr>
          <w:cantSplit/>
        </w:trPr>
        <w:tc>
          <w:tcPr>
            <w:tcW w:type="pct" w:w="900"/>
            <w:tcMar>
              <w:top w:type="dxa" w:w="70"/>
              <w:left w:type="dxa" w:w="100"/>
              <w:bottom w:type="dxa" w:w="70"/>
              <w:right w:type="dxa" w:w="100"/>
            </w:tcMar>
          </w:tcPr>
          <w:p>
            <w:pPr>
              <w:spacing w:line="264"/>
              <w:jc w:val="left"/>
            </w:pPr>
            <w:r>
              <w:rPr>
                <w:rFonts w:ascii="Times New Roman" w:eastAsia="SimSun"/>
                <w:b w:val="false"/>
                <w:bCs w:val="false"/>
                <w:color w:val="000000"/>
                <w:sz w:val="20"/>
                <w:szCs w:val="20"/>
              </w:rPr>
              <w:t xml:space="preserve">数据集与模型</w:t>
            </w:r>
          </w:p>
        </w:tc>
        <w:tc>
          <w:tcPr>
            <w:tcW w:type="pct" w:w="4100"/>
            <w:tcMar>
              <w:top w:type="dxa" w:w="70"/>
              <w:left w:type="dxa" w:w="100"/>
              <w:bottom w:type="dxa" w:w="70"/>
              <w:right w:type="dxa" w:w="100"/>
            </w:tcMar>
          </w:tcPr>
          <w:p>
            <w:pPr>
              <w:spacing w:line="264"/>
              <w:jc w:val="left"/>
            </w:pPr>
            <w:r>
              <w:rPr>
                <w:rFonts w:ascii="Times New Roman" w:eastAsia="SimSun"/>
                <w:b w:val="false"/>
                <w:bCs w:val="false"/>
                <w:color w:val="000000"/>
                <w:sz w:val="20"/>
                <w:szCs w:val="20"/>
              </w:rPr>
              <w:t xml:space="preserve">FMNIST（开发）+ CIFAR-100/WRN（可信度）；至少一个现代基准否则不可发表为方法</w:t>
            </w:r>
          </w:p>
        </w:tc>
      </w:tr>
      <w:tr>
        <w:trPr>
          <w:cantSplit/>
        </w:trPr>
        <w:tc>
          <w:tcPr>
            <w:tcW w:type="pct" w:w="900"/>
            <w:shd w:fill="F2F6F5" w:val="clear"/>
            <w:tcMar>
              <w:top w:type="dxa" w:w="70"/>
              <w:left w:type="dxa" w:w="100"/>
              <w:bottom w:type="dxa" w:w="70"/>
              <w:right w:type="dxa" w:w="100"/>
            </w:tcMar>
          </w:tcPr>
          <w:p>
            <w:pPr>
              <w:spacing w:line="264"/>
              <w:jc w:val="left"/>
            </w:pPr>
            <w:r>
              <w:rPr>
                <w:rFonts w:ascii="Times New Roman" w:eastAsia="SimSun"/>
                <w:b w:val="false"/>
                <w:bCs w:val="false"/>
                <w:color w:val="000000"/>
                <w:sz w:val="20"/>
                <w:szCs w:val="20"/>
              </w:rPr>
              <w:t xml:space="preserve">统计分析计划</w:t>
            </w:r>
          </w:p>
        </w:tc>
        <w:tc>
          <w:tcPr>
            <w:tcW w:type="pct" w:w="4100"/>
            <w:shd w:fill="F2F6F5" w:val="clear"/>
            <w:tcMar>
              <w:top w:type="dxa" w:w="70"/>
              <w:left w:type="dxa" w:w="100"/>
              <w:bottom w:type="dxa" w:w="70"/>
              <w:right w:type="dxa" w:w="100"/>
            </w:tcMar>
          </w:tcPr>
          <w:p>
            <w:pPr>
              <w:spacing w:line="264"/>
              <w:jc w:val="left"/>
            </w:pPr>
            <w:r>
              <w:rPr>
                <w:rFonts w:ascii="Times New Roman" w:eastAsia="SimSun"/>
                <w:b w:val="false"/>
                <w:bCs w:val="false"/>
                <w:color w:val="000000"/>
                <w:sz w:val="20"/>
                <w:szCs w:val="20"/>
              </w:rPr>
              <w:t xml:space="preserve">控制器 vs 最优固定 k 的配对置换检验（种子配对，10 种子）；多预算重复</w:t>
            </w:r>
          </w:p>
        </w:tc>
      </w:tr>
      <w:tr>
        <w:trPr>
          <w:cantSplit/>
        </w:trPr>
        <w:tc>
          <w:tcPr>
            <w:tcW w:type="pct" w:w="900"/>
            <w:tcMar>
              <w:top w:type="dxa" w:w="70"/>
              <w:left w:type="dxa" w:w="100"/>
              <w:bottom w:type="dxa" w:w="70"/>
              <w:right w:type="dxa" w:w="100"/>
            </w:tcMar>
          </w:tcPr>
          <w:p>
            <w:pPr>
              <w:spacing w:line="264"/>
              <w:jc w:val="left"/>
            </w:pPr>
            <w:r>
              <w:rPr>
                <w:rFonts w:ascii="Times New Roman" w:eastAsia="SimSun"/>
                <w:b w:val="false"/>
                <w:bCs w:val="false"/>
                <w:color w:val="000000"/>
                <w:sz w:val="20"/>
                <w:szCs w:val="20"/>
              </w:rPr>
              <w:t xml:space="preserve">预期失败条件</w:t>
            </w:r>
          </w:p>
        </w:tc>
        <w:tc>
          <w:tcPr>
            <w:tcW w:type="pct" w:w="4100"/>
            <w:tcMar>
              <w:top w:type="dxa" w:w="70"/>
              <w:left w:type="dxa" w:w="100"/>
              <w:bottom w:type="dxa" w:w="70"/>
              <w:right w:type="dxa" w:w="100"/>
            </w:tcMar>
          </w:tcPr>
          <w:p>
            <w:pPr>
              <w:spacing w:line="264"/>
              <w:jc w:val="left"/>
            </w:pPr>
            <w:r>
              <w:rPr>
                <w:rFonts w:ascii="Times New Roman" w:eastAsia="SimSun"/>
                <w:b w:val="false"/>
                <w:bCs w:val="false"/>
                <w:color w:val="000000"/>
                <w:sz w:val="20"/>
                <w:szCs w:val="20"/>
              </w:rPr>
              <w:t xml:space="preserve">增益不显著（很可能：固定 k=3 已接近饱和的先兆在 k5 数据中可见）；规模化后规律消失</w:t>
            </w:r>
          </w:p>
        </w:tc>
      </w:tr>
      <w:tr>
        <w:trPr>
          <w:cantSplit/>
        </w:trPr>
        <w:tc>
          <w:tcPr>
            <w:tcW w:type="pct" w:w="900"/>
            <w:shd w:fill="F2F6F5" w:val="clear"/>
            <w:tcMar>
              <w:top w:type="dxa" w:w="70"/>
              <w:left w:type="dxa" w:w="100"/>
              <w:bottom w:type="dxa" w:w="70"/>
              <w:right w:type="dxa" w:w="100"/>
            </w:tcMar>
          </w:tcPr>
          <w:p>
            <w:pPr>
              <w:spacing w:line="264"/>
              <w:jc w:val="left"/>
            </w:pPr>
            <w:r>
              <w:rPr>
                <w:rFonts w:ascii="Times New Roman" w:eastAsia="SimSun"/>
                <w:b w:val="false"/>
                <w:bCs w:val="false"/>
                <w:color w:val="000000"/>
                <w:sz w:val="20"/>
                <w:szCs w:val="20"/>
              </w:rPr>
              <w:t xml:space="preserve">时间与资源</w:t>
            </w:r>
          </w:p>
        </w:tc>
        <w:tc>
          <w:tcPr>
            <w:tcW w:type="pct" w:w="4100"/>
            <w:shd w:fill="F2F6F5" w:val="clear"/>
            <w:tcMar>
              <w:top w:type="dxa" w:w="70"/>
              <w:left w:type="dxa" w:w="100"/>
              <w:bottom w:type="dxa" w:w="70"/>
              <w:right w:type="dxa" w:w="100"/>
            </w:tcMar>
          </w:tcPr>
          <w:p>
            <w:pPr>
              <w:spacing w:line="264"/>
              <w:jc w:val="left"/>
            </w:pPr>
            <w:r>
              <w:rPr>
                <w:rFonts w:ascii="Times New Roman" w:eastAsia="SimSun"/>
                <w:b w:val="false"/>
                <w:bCs w:val="false"/>
                <w:color w:val="000000"/>
                <w:sz w:val="20"/>
                <w:szCs w:val="20"/>
              </w:rPr>
              <w:t xml:space="preserve">2 至 4 个月；需要 GPU；需先完成一轮新的占位检索</w:t>
            </w:r>
          </w:p>
        </w:tc>
      </w:tr>
      <w:tr>
        <w:trPr>
          <w:cantSplit/>
        </w:trPr>
        <w:tc>
          <w:tcPr>
            <w:tcW w:type="pct" w:w="900"/>
            <w:tcMar>
              <w:top w:type="dxa" w:w="70"/>
              <w:left w:type="dxa" w:w="100"/>
              <w:bottom w:type="dxa" w:w="70"/>
              <w:right w:type="dxa" w:w="100"/>
            </w:tcMar>
          </w:tcPr>
          <w:p>
            <w:pPr>
              <w:spacing w:line="264"/>
              <w:jc w:val="left"/>
            </w:pPr>
            <w:r>
              <w:rPr>
                <w:rFonts w:ascii="Times New Roman" w:eastAsia="SimSun"/>
                <w:b w:val="false"/>
                <w:bCs w:val="false"/>
                <w:color w:val="000000"/>
                <w:sz w:val="20"/>
                <w:szCs w:val="20"/>
              </w:rPr>
              <w:t xml:space="preserve">最大风险</w:t>
            </w:r>
          </w:p>
        </w:tc>
        <w:tc>
          <w:tcPr>
            <w:tcW w:type="pct" w:w="4100"/>
            <w:tcMar>
              <w:top w:type="dxa" w:w="70"/>
              <w:left w:type="dxa" w:w="100"/>
              <w:bottom w:type="dxa" w:w="70"/>
              <w:right w:type="dxa" w:w="100"/>
            </w:tcMar>
          </w:tcPr>
          <w:p>
            <w:pPr>
              <w:spacing w:line="264"/>
              <w:jc w:val="left"/>
            </w:pPr>
            <w:r>
              <w:rPr>
                <w:rFonts w:ascii="Times New Roman" w:eastAsia="SimSun"/>
                <w:b w:val="false"/>
                <w:bCs w:val="false"/>
                <w:color w:val="000000"/>
                <w:sz w:val="20"/>
                <w:szCs w:val="20"/>
              </w:rPr>
              <w:t xml:space="preserve">方法增量空间拥挤，审稿要求大规模对比，单作者资源难以支撑；失败概率为三方案最高</w:t>
            </w:r>
          </w:p>
        </w:tc>
      </w:tr>
    </w:tbl>
    <w:p>
      <w:pPr>
        <w:pStyle w:val="Heading2"/>
        <w:spacing w:after="120" w:before="260" w:line="350" w:lineRule="atLeast"/>
      </w:pPr>
      <w:bookmarkStart w:name="_Toc22" w:id="22"/>
      <w:r>
        <w:rPr>
          <w:rFonts w:ascii="Times New Roman" w:eastAsia="SimHei"/>
          <w:b/>
          <w:bCs/>
          <w:color w:val="0B1C2C"/>
          <w:sz w:val="28"/>
          <w:szCs w:val="28"/>
        </w:rPr>
        <w:t xml:space="preserve">4.4 三方案对比</w:t>
      </w:r>
      <w:bookmarkEnd w:id="22"/>
    </w:p>
    <w:p>
      <w:pPr>
        <w:keepNext/>
        <w:spacing w:after="100" w:before="160" w:line="280"/>
        <w:jc w:val="center"/>
      </w:pPr>
      <w:r>
        <w:rPr>
          <w:rFonts w:ascii="Times New Roman" w:eastAsia="SimHei"/>
          <w:b/>
          <w:bCs/>
          <w:color w:val="404040"/>
          <w:sz w:val="21"/>
          <w:szCs w:val="21"/>
        </w:rPr>
        <w:t xml:space="preserve">表 4-4 方案对比总表</w:t>
      </w:r>
    </w:p>
    <w:tbl>
      <w:tblPr>
        <w:tblW w:type="pct" w:w="5000"/>
        <w:tblBorders>
          <w:top w:val="single" w:color="529286" w:sz="6"/>
          <w:left w:val="none" w:color="FFFFFF" w:sz="0"/>
          <w:bottom w:val="single" w:color="529286" w:sz="6"/>
          <w:right w:val="none" w:color="FFFFFF" w:sz="0"/>
          <w:insideH w:val="single" w:color="C8D4D0" w:sz="2"/>
          <w:insideV w:val="none" w:color="FFFFFF" w:sz="0"/>
        </w:tblBorders>
      </w:tblPr>
      <w:tblGrid>
        <w:gridCol w:w="1933"/>
        <w:gridCol w:w="2285"/>
        <w:gridCol w:w="2285"/>
        <w:gridCol w:w="2285"/>
      </w:tblGrid>
      <w:tr>
        <w:trPr>
          <w:cantSplit/>
          <w:tblHeader/>
        </w:trPr>
        <w:tc>
          <w:tcPr>
            <w:tcW w:type="pct" w:w="1100"/>
            <w:shd w:fill="529286" w:val="clear"/>
            <w:tcMar>
              <w:top w:type="dxa" w:w="70"/>
              <w:left w:type="dxa" w:w="100"/>
              <w:bottom w:type="dxa" w:w="70"/>
              <w:right w:type="dxa" w:w="100"/>
            </w:tcMar>
          </w:tcPr>
          <w:p>
            <w:pPr>
              <w:spacing w:line="260"/>
              <w:jc w:val="center"/>
            </w:pPr>
            <w:r>
              <w:rPr>
                <w:rFonts w:ascii="Times New Roman" w:eastAsia="SimHei"/>
                <w:b/>
                <w:bCs/>
                <w:color w:val="FFFFFF"/>
                <w:sz w:val="20"/>
                <w:szCs w:val="20"/>
              </w:rPr>
              <w:t xml:space="preserve">维度</w:t>
            </w:r>
          </w:p>
        </w:tc>
        <w:tc>
          <w:tcPr>
            <w:tcW w:type="pct" w:w="1300"/>
            <w:shd w:fill="529286" w:val="clear"/>
            <w:tcMar>
              <w:top w:type="dxa" w:w="70"/>
              <w:left w:type="dxa" w:w="100"/>
              <w:bottom w:type="dxa" w:w="70"/>
              <w:right w:type="dxa" w:w="100"/>
            </w:tcMar>
          </w:tcPr>
          <w:p>
            <w:pPr>
              <w:spacing w:line="260"/>
              <w:jc w:val="center"/>
            </w:pPr>
            <w:r>
              <w:rPr>
                <w:rFonts w:ascii="Times New Roman" w:eastAsia="SimHei"/>
                <w:b/>
                <w:bCs/>
                <w:color w:val="FFFFFF"/>
                <w:sz w:val="20"/>
                <w:szCs w:val="20"/>
              </w:rPr>
              <w:t xml:space="preserve">方案 A 重定位</w:t>
            </w:r>
          </w:p>
        </w:tc>
        <w:tc>
          <w:tcPr>
            <w:tcW w:type="pct" w:w="1300"/>
            <w:shd w:fill="529286" w:val="clear"/>
            <w:tcMar>
              <w:top w:type="dxa" w:w="70"/>
              <w:left w:type="dxa" w:w="100"/>
              <w:bottom w:type="dxa" w:w="70"/>
              <w:right w:type="dxa" w:w="100"/>
            </w:tcMar>
          </w:tcPr>
          <w:p>
            <w:pPr>
              <w:spacing w:line="260"/>
              <w:jc w:val="center"/>
            </w:pPr>
            <w:r>
              <w:rPr>
                <w:rFonts w:ascii="Times New Roman" w:eastAsia="SimHei"/>
                <w:b/>
                <w:bCs/>
                <w:color w:val="FFFFFF"/>
                <w:sz w:val="20"/>
                <w:szCs w:val="20"/>
              </w:rPr>
              <w:t xml:space="preserve">方案 B 分配规律</w:t>
            </w:r>
          </w:p>
        </w:tc>
        <w:tc>
          <w:tcPr>
            <w:tcW w:type="pct" w:w="1300"/>
            <w:shd w:fill="529286" w:val="clear"/>
            <w:tcMar>
              <w:top w:type="dxa" w:w="70"/>
              <w:left w:type="dxa" w:w="100"/>
              <w:bottom w:type="dxa" w:w="70"/>
              <w:right w:type="dxa" w:w="100"/>
            </w:tcMar>
          </w:tcPr>
          <w:p>
            <w:pPr>
              <w:spacing w:line="260"/>
              <w:jc w:val="center"/>
            </w:pPr>
            <w:r>
              <w:rPr>
                <w:rFonts w:ascii="Times New Roman" w:eastAsia="SimHei"/>
                <w:b/>
                <w:bCs/>
                <w:color w:val="FFFFFF"/>
                <w:sz w:val="20"/>
                <w:szCs w:val="20"/>
              </w:rPr>
              <w:t xml:space="preserve">方案 C 分配算法</w:t>
            </w:r>
          </w:p>
        </w:tc>
      </w:tr>
      <w:tr>
        <w:trPr>
          <w:cantSplit/>
        </w:trPr>
        <w:tc>
          <w:tcPr>
            <w:tcW w:type="pct" w:w="1100"/>
            <w:tcMar>
              <w:top w:type="dxa" w:w="70"/>
              <w:left w:type="dxa" w:w="100"/>
              <w:bottom w:type="dxa" w:w="70"/>
              <w:right w:type="dxa" w:w="100"/>
            </w:tcMar>
          </w:tcPr>
          <w:p>
            <w:pPr>
              <w:spacing w:line="264"/>
              <w:jc w:val="left"/>
            </w:pPr>
            <w:r>
              <w:rPr>
                <w:rFonts w:ascii="Times New Roman" w:eastAsia="SimSun"/>
                <w:b w:val="false"/>
                <w:bCs w:val="false"/>
                <w:color w:val="000000"/>
                <w:sz w:val="20"/>
                <w:szCs w:val="20"/>
              </w:rPr>
              <w:t xml:space="preserve">新增科学贡献</w:t>
            </w:r>
          </w:p>
        </w:tc>
        <w:tc>
          <w:tcPr>
            <w:tcW w:type="pct" w:w="1300"/>
            <w:tcMar>
              <w:top w:type="dxa" w:w="70"/>
              <w:left w:type="dxa" w:w="100"/>
              <w:bottom w:type="dxa" w:w="70"/>
              <w:right w:type="dxa" w:w="100"/>
            </w:tcMar>
          </w:tcPr>
          <w:p>
            <w:pPr>
              <w:spacing w:line="264"/>
              <w:jc w:val="left"/>
            </w:pPr>
            <w:r>
              <w:rPr>
                <w:rFonts w:ascii="Times New Roman" w:eastAsia="SimSun"/>
                <w:b w:val="false"/>
                <w:bCs w:val="false"/>
                <w:color w:val="000000"/>
                <w:sz w:val="20"/>
                <w:szCs w:val="20"/>
              </w:rPr>
              <w:t xml:space="preserve">无（叙事重排）</w:t>
            </w:r>
          </w:p>
        </w:tc>
        <w:tc>
          <w:tcPr>
            <w:tcW w:type="pct" w:w="1300"/>
            <w:tcMar>
              <w:top w:type="dxa" w:w="70"/>
              <w:left w:type="dxa" w:w="100"/>
              <w:bottom w:type="dxa" w:w="70"/>
              <w:right w:type="dxa" w:w="100"/>
            </w:tcMar>
          </w:tcPr>
          <w:p>
            <w:pPr>
              <w:spacing w:line="264"/>
              <w:jc w:val="left"/>
            </w:pPr>
            <w:r>
              <w:rPr>
                <w:rFonts w:ascii="Times New Roman" w:eastAsia="SimSun"/>
                <w:b w:val="false"/>
                <w:bCs w:val="false"/>
                <w:color w:val="000000"/>
                <w:sz w:val="20"/>
                <w:szCs w:val="20"/>
              </w:rPr>
              <w:t xml:space="preserve">一条规律 + 决策规则</w:t>
            </w:r>
          </w:p>
        </w:tc>
        <w:tc>
          <w:tcPr>
            <w:tcW w:type="pct" w:w="1300"/>
            <w:tcMar>
              <w:top w:type="dxa" w:w="70"/>
              <w:left w:type="dxa" w:w="100"/>
              <w:bottom w:type="dxa" w:w="70"/>
              <w:right w:type="dxa" w:w="100"/>
            </w:tcMar>
          </w:tcPr>
          <w:p>
            <w:pPr>
              <w:spacing w:line="264"/>
              <w:jc w:val="left"/>
            </w:pPr>
            <w:r>
              <w:rPr>
                <w:rFonts w:ascii="Times New Roman" w:eastAsia="SimSun"/>
                <w:b w:val="false"/>
                <w:bCs w:val="false"/>
                <w:color w:val="000000"/>
                <w:sz w:val="20"/>
                <w:szCs w:val="20"/>
              </w:rPr>
              <w:t xml:space="preserve">一个新方法（若成功）</w:t>
            </w:r>
          </w:p>
        </w:tc>
      </w:tr>
      <w:tr>
        <w:trPr>
          <w:cantSplit/>
        </w:trPr>
        <w:tc>
          <w:tcPr>
            <w:tcW w:type="pct" w:w="1100"/>
            <w:shd w:fill="F2F6F5" w:val="clear"/>
            <w:tcMar>
              <w:top w:type="dxa" w:w="70"/>
              <w:left w:type="dxa" w:w="100"/>
              <w:bottom w:type="dxa" w:w="70"/>
              <w:right w:type="dxa" w:w="100"/>
            </w:tcMar>
          </w:tcPr>
          <w:p>
            <w:pPr>
              <w:spacing w:line="264"/>
              <w:jc w:val="left"/>
            </w:pPr>
            <w:r>
              <w:rPr>
                <w:rFonts w:ascii="Times New Roman" w:eastAsia="SimSun"/>
                <w:b w:val="false"/>
                <w:bCs w:val="false"/>
                <w:color w:val="000000"/>
                <w:sz w:val="20"/>
                <w:szCs w:val="20"/>
              </w:rPr>
              <w:t xml:space="preserve">时间</w:t>
            </w:r>
          </w:p>
        </w:tc>
        <w:tc>
          <w:tcPr>
            <w:tcW w:type="pct" w:w="1300"/>
            <w:shd w:fill="F2F6F5" w:val="clear"/>
            <w:tcMar>
              <w:top w:type="dxa" w:w="70"/>
              <w:left w:type="dxa" w:w="100"/>
              <w:bottom w:type="dxa" w:w="70"/>
              <w:right w:type="dxa" w:w="100"/>
            </w:tcMar>
          </w:tcPr>
          <w:p>
            <w:pPr>
              <w:spacing w:line="264"/>
              <w:jc w:val="left"/>
            </w:pPr>
            <w:r>
              <w:rPr>
                <w:rFonts w:ascii="Times New Roman" w:eastAsia="SimSun"/>
                <w:b w:val="false"/>
                <w:bCs w:val="false"/>
                <w:color w:val="000000"/>
                <w:sz w:val="20"/>
                <w:szCs w:val="20"/>
              </w:rPr>
              <w:t xml:space="preserve">1-2 周</w:t>
            </w:r>
          </w:p>
        </w:tc>
        <w:tc>
          <w:tcPr>
            <w:tcW w:type="pct" w:w="1300"/>
            <w:shd w:fill="F2F6F5" w:val="clear"/>
            <w:tcMar>
              <w:top w:type="dxa" w:w="70"/>
              <w:left w:type="dxa" w:w="100"/>
              <w:bottom w:type="dxa" w:w="70"/>
              <w:right w:type="dxa" w:w="100"/>
            </w:tcMar>
          </w:tcPr>
          <w:p>
            <w:pPr>
              <w:spacing w:line="264"/>
              <w:jc w:val="left"/>
            </w:pPr>
            <w:r>
              <w:rPr>
                <w:rFonts w:ascii="Times New Roman" w:eastAsia="SimSun"/>
                <w:b w:val="false"/>
                <w:bCs w:val="false"/>
                <w:color w:val="000000"/>
                <w:sz w:val="20"/>
                <w:szCs w:val="20"/>
              </w:rPr>
              <w:t xml:space="preserve">4-6 周</w:t>
            </w:r>
          </w:p>
        </w:tc>
        <w:tc>
          <w:tcPr>
            <w:tcW w:type="pct" w:w="1300"/>
            <w:shd w:fill="F2F6F5" w:val="clear"/>
            <w:tcMar>
              <w:top w:type="dxa" w:w="70"/>
              <w:left w:type="dxa" w:w="100"/>
              <w:bottom w:type="dxa" w:w="70"/>
              <w:right w:type="dxa" w:w="100"/>
            </w:tcMar>
          </w:tcPr>
          <w:p>
            <w:pPr>
              <w:spacing w:line="264"/>
              <w:jc w:val="left"/>
            </w:pPr>
            <w:r>
              <w:rPr>
                <w:rFonts w:ascii="Times New Roman" w:eastAsia="SimSun"/>
                <w:b w:val="false"/>
                <w:bCs w:val="false"/>
                <w:color w:val="000000"/>
                <w:sz w:val="20"/>
                <w:szCs w:val="20"/>
              </w:rPr>
              <w:t xml:space="preserve">2-4 月</w:t>
            </w:r>
          </w:p>
        </w:tc>
      </w:tr>
      <w:tr>
        <w:trPr>
          <w:cantSplit/>
        </w:trPr>
        <w:tc>
          <w:tcPr>
            <w:tcW w:type="pct" w:w="1100"/>
            <w:tcMar>
              <w:top w:type="dxa" w:w="70"/>
              <w:left w:type="dxa" w:w="100"/>
              <w:bottom w:type="dxa" w:w="70"/>
              <w:right w:type="dxa" w:w="100"/>
            </w:tcMar>
          </w:tcPr>
          <w:p>
            <w:pPr>
              <w:spacing w:line="264"/>
              <w:jc w:val="left"/>
            </w:pPr>
            <w:r>
              <w:rPr>
                <w:rFonts w:ascii="Times New Roman" w:eastAsia="SimSun"/>
                <w:b w:val="false"/>
                <w:bCs w:val="false"/>
                <w:color w:val="000000"/>
                <w:sz w:val="20"/>
                <w:szCs w:val="20"/>
              </w:rPr>
              <w:t xml:space="preserve">计算</w:t>
            </w:r>
          </w:p>
        </w:tc>
        <w:tc>
          <w:tcPr>
            <w:tcW w:type="pct" w:w="1300"/>
            <w:tcMar>
              <w:top w:type="dxa" w:w="70"/>
              <w:left w:type="dxa" w:w="100"/>
              <w:bottom w:type="dxa" w:w="70"/>
              <w:right w:type="dxa" w:w="100"/>
            </w:tcMar>
          </w:tcPr>
          <w:p>
            <w:pPr>
              <w:spacing w:line="264"/>
              <w:jc w:val="left"/>
            </w:pPr>
            <w:r>
              <w:rPr>
                <w:rFonts w:ascii="Times New Roman" w:eastAsia="SimSun"/>
                <w:b w:val="false"/>
                <w:bCs w:val="false"/>
                <w:color w:val="000000"/>
                <w:sz w:val="20"/>
                <w:szCs w:val="20"/>
              </w:rPr>
              <w:t xml:space="preserve">无</w:t>
            </w:r>
          </w:p>
        </w:tc>
        <w:tc>
          <w:tcPr>
            <w:tcW w:type="pct" w:w="1300"/>
            <w:tcMar>
              <w:top w:type="dxa" w:w="70"/>
              <w:left w:type="dxa" w:w="100"/>
              <w:bottom w:type="dxa" w:w="70"/>
              <w:right w:type="dxa" w:w="100"/>
            </w:tcMar>
          </w:tcPr>
          <w:p>
            <w:pPr>
              <w:spacing w:line="264"/>
              <w:jc w:val="left"/>
            </w:pPr>
            <w:r>
              <w:rPr>
                <w:rFonts w:ascii="Times New Roman" w:eastAsia="SimSun"/>
                <w:b w:val="false"/>
                <w:bCs w:val="false"/>
                <w:color w:val="000000"/>
                <w:sz w:val="20"/>
                <w:szCs w:val="20"/>
              </w:rPr>
              <w:t xml:space="preserve">纯 CPU 约 18 小时</w:t>
            </w:r>
          </w:p>
        </w:tc>
        <w:tc>
          <w:tcPr>
            <w:tcW w:type="pct" w:w="1300"/>
            <w:tcMar>
              <w:top w:type="dxa" w:w="70"/>
              <w:left w:type="dxa" w:w="100"/>
              <w:bottom w:type="dxa" w:w="70"/>
              <w:right w:type="dxa" w:w="100"/>
            </w:tcMar>
          </w:tcPr>
          <w:p>
            <w:pPr>
              <w:spacing w:line="264"/>
              <w:jc w:val="left"/>
            </w:pPr>
            <w:r>
              <w:rPr>
                <w:rFonts w:ascii="Times New Roman" w:eastAsia="SimSun"/>
                <w:b w:val="false"/>
                <w:bCs w:val="false"/>
                <w:color w:val="000000"/>
                <w:sz w:val="20"/>
                <w:szCs w:val="20"/>
              </w:rPr>
              <w:t xml:space="preserve">GPU 数天</w:t>
            </w:r>
          </w:p>
        </w:tc>
      </w:tr>
      <w:tr>
        <w:trPr>
          <w:cantSplit/>
        </w:trPr>
        <w:tc>
          <w:tcPr>
            <w:tcW w:type="pct" w:w="1100"/>
            <w:shd w:fill="F2F6F5" w:val="clear"/>
            <w:tcMar>
              <w:top w:type="dxa" w:w="70"/>
              <w:left w:type="dxa" w:w="100"/>
              <w:bottom w:type="dxa" w:w="70"/>
              <w:right w:type="dxa" w:w="100"/>
            </w:tcMar>
          </w:tcPr>
          <w:p>
            <w:pPr>
              <w:spacing w:line="264"/>
              <w:jc w:val="left"/>
            </w:pPr>
            <w:r>
              <w:rPr>
                <w:rFonts w:ascii="Times New Roman" w:eastAsia="SimSun"/>
                <w:b w:val="false"/>
                <w:bCs w:val="false"/>
                <w:color w:val="000000"/>
                <w:sz w:val="20"/>
                <w:szCs w:val="20"/>
              </w:rPr>
              <w:t xml:space="preserve">失败概率（主观）</w:t>
            </w:r>
          </w:p>
        </w:tc>
        <w:tc>
          <w:tcPr>
            <w:tcW w:type="pct" w:w="1300"/>
            <w:shd w:fill="F2F6F5" w:val="clear"/>
            <w:tcMar>
              <w:top w:type="dxa" w:w="70"/>
              <w:left w:type="dxa" w:w="100"/>
              <w:bottom w:type="dxa" w:w="70"/>
              <w:right w:type="dxa" w:w="100"/>
            </w:tcMar>
          </w:tcPr>
          <w:p>
            <w:pPr>
              <w:spacing w:line="264"/>
              <w:jc w:val="left"/>
            </w:pPr>
            <w:r>
              <w:rPr>
                <w:rFonts w:ascii="Times New Roman" w:eastAsia="SimSun"/>
                <w:b w:val="false"/>
                <w:bCs w:val="false"/>
                <w:color w:val="000000"/>
                <w:sz w:val="20"/>
                <w:szCs w:val="20"/>
              </w:rPr>
              <w:t xml:space="preserve">中高</w:t>
            </w:r>
          </w:p>
        </w:tc>
        <w:tc>
          <w:tcPr>
            <w:tcW w:type="pct" w:w="1300"/>
            <w:shd w:fill="F2F6F5" w:val="clear"/>
            <w:tcMar>
              <w:top w:type="dxa" w:w="70"/>
              <w:left w:type="dxa" w:w="100"/>
              <w:bottom w:type="dxa" w:w="70"/>
              <w:right w:type="dxa" w:w="100"/>
            </w:tcMar>
          </w:tcPr>
          <w:p>
            <w:pPr>
              <w:spacing w:line="264"/>
              <w:jc w:val="left"/>
            </w:pPr>
            <w:r>
              <w:rPr>
                <w:rFonts w:ascii="Times New Roman" w:eastAsia="SimSun"/>
                <w:b w:val="false"/>
                <w:bCs w:val="false"/>
                <w:color w:val="000000"/>
                <w:sz w:val="20"/>
                <w:szCs w:val="20"/>
              </w:rPr>
              <w:t xml:space="preserve">中</w:t>
            </w:r>
          </w:p>
        </w:tc>
        <w:tc>
          <w:tcPr>
            <w:tcW w:type="pct" w:w="1300"/>
            <w:shd w:fill="F2F6F5" w:val="clear"/>
            <w:tcMar>
              <w:top w:type="dxa" w:w="70"/>
              <w:left w:type="dxa" w:w="100"/>
              <w:bottom w:type="dxa" w:w="70"/>
              <w:right w:type="dxa" w:w="100"/>
            </w:tcMar>
          </w:tcPr>
          <w:p>
            <w:pPr>
              <w:spacing w:line="264"/>
              <w:jc w:val="left"/>
            </w:pPr>
            <w:r>
              <w:rPr>
                <w:rFonts w:ascii="Times New Roman" w:eastAsia="SimSun"/>
                <w:b w:val="false"/>
                <w:bCs w:val="false"/>
                <w:color w:val="000000"/>
                <w:sz w:val="20"/>
                <w:szCs w:val="20"/>
              </w:rPr>
              <w:t xml:space="preserve">高</w:t>
            </w:r>
          </w:p>
        </w:tc>
      </w:tr>
      <w:tr>
        <w:trPr>
          <w:cantSplit/>
        </w:trPr>
        <w:tc>
          <w:tcPr>
            <w:tcW w:type="pct" w:w="1100"/>
            <w:tcMar>
              <w:top w:type="dxa" w:w="70"/>
              <w:left w:type="dxa" w:w="100"/>
              <w:bottom w:type="dxa" w:w="70"/>
              <w:right w:type="dxa" w:w="100"/>
            </w:tcMar>
          </w:tcPr>
          <w:p>
            <w:pPr>
              <w:spacing w:line="264"/>
              <w:jc w:val="left"/>
            </w:pPr>
            <w:r>
              <w:rPr>
                <w:rFonts w:ascii="Times New Roman" w:eastAsia="SimSun"/>
                <w:b w:val="false"/>
                <w:bCs w:val="false"/>
                <w:color w:val="000000"/>
                <w:sz w:val="20"/>
                <w:szCs w:val="20"/>
              </w:rPr>
              <w:t xml:space="preserve">失败时残余价值</w:t>
            </w:r>
          </w:p>
        </w:tc>
        <w:tc>
          <w:tcPr>
            <w:tcW w:type="pct" w:w="1300"/>
            <w:tcMar>
              <w:top w:type="dxa" w:w="70"/>
              <w:left w:type="dxa" w:w="100"/>
              <w:bottom w:type="dxa" w:w="70"/>
              <w:right w:type="dxa" w:w="100"/>
            </w:tcMar>
          </w:tcPr>
          <w:p>
            <w:pPr>
              <w:spacing w:line="264"/>
              <w:jc w:val="left"/>
            </w:pPr>
            <w:r>
              <w:rPr>
                <w:rFonts w:ascii="Times New Roman" w:eastAsia="SimSun"/>
                <w:b w:val="false"/>
                <w:bCs w:val="false"/>
                <w:color w:val="000000"/>
                <w:sz w:val="20"/>
                <w:szCs w:val="20"/>
              </w:rPr>
              <w:t xml:space="preserve">零</w:t>
            </w:r>
          </w:p>
        </w:tc>
        <w:tc>
          <w:tcPr>
            <w:tcW w:type="pct" w:w="1300"/>
            <w:tcMar>
              <w:top w:type="dxa" w:w="70"/>
              <w:left w:type="dxa" w:w="100"/>
              <w:bottom w:type="dxa" w:w="70"/>
              <w:right w:type="dxa" w:w="100"/>
            </w:tcMar>
          </w:tcPr>
          <w:p>
            <w:pPr>
              <w:spacing w:line="264"/>
              <w:jc w:val="left"/>
            </w:pPr>
            <w:r>
              <w:rPr>
                <w:rFonts w:ascii="Times New Roman" w:eastAsia="SimSun"/>
                <w:b w:val="false"/>
                <w:bCs w:val="false"/>
                <w:color w:val="000000"/>
                <w:sz w:val="20"/>
                <w:szCs w:val="20"/>
              </w:rPr>
              <w:t xml:space="preserve">决策规则 + 边界图</w:t>
            </w:r>
          </w:p>
        </w:tc>
        <w:tc>
          <w:tcPr>
            <w:tcW w:type="pct" w:w="1300"/>
            <w:tcMar>
              <w:top w:type="dxa" w:w="70"/>
              <w:left w:type="dxa" w:w="100"/>
              <w:bottom w:type="dxa" w:w="70"/>
              <w:right w:type="dxa" w:w="100"/>
            </w:tcMar>
          </w:tcPr>
          <w:p>
            <w:pPr>
              <w:spacing w:line="264"/>
              <w:jc w:val="left"/>
            </w:pPr>
            <w:r>
              <w:rPr>
                <w:rFonts w:ascii="Times New Roman" w:eastAsia="SimSun"/>
                <w:b w:val="false"/>
                <w:bCs w:val="false"/>
                <w:color w:val="000000"/>
                <w:sz w:val="20"/>
                <w:szCs w:val="20"/>
              </w:rPr>
              <w:t xml:space="preserve">负结果（难发表）</w:t>
            </w:r>
          </w:p>
        </w:tc>
      </w:tr>
      <w:tr>
        <w:trPr>
          <w:cantSplit/>
        </w:trPr>
        <w:tc>
          <w:tcPr>
            <w:tcW w:type="pct" w:w="1100"/>
            <w:shd w:fill="F2F6F5" w:val="clear"/>
            <w:tcMar>
              <w:top w:type="dxa" w:w="70"/>
              <w:left w:type="dxa" w:w="100"/>
              <w:bottom w:type="dxa" w:w="70"/>
              <w:right w:type="dxa" w:w="100"/>
            </w:tcMar>
          </w:tcPr>
          <w:p>
            <w:pPr>
              <w:spacing w:line="264"/>
              <w:jc w:val="left"/>
            </w:pPr>
            <w:r>
              <w:rPr>
                <w:rFonts w:ascii="Times New Roman" w:eastAsia="SimSun"/>
                <w:b w:val="false"/>
                <w:bCs w:val="false"/>
                <w:color w:val="000000"/>
                <w:sz w:val="20"/>
                <w:szCs w:val="20"/>
              </w:rPr>
              <w:t xml:space="preserve">目标期刊层</w:t>
            </w:r>
          </w:p>
        </w:tc>
        <w:tc>
          <w:tcPr>
            <w:tcW w:type="pct" w:w="1300"/>
            <w:shd w:fill="F2F6F5" w:val="clear"/>
            <w:tcMar>
              <w:top w:type="dxa" w:w="70"/>
              <w:left w:type="dxa" w:w="100"/>
              <w:bottom w:type="dxa" w:w="70"/>
              <w:right w:type="dxa" w:w="100"/>
            </w:tcMar>
          </w:tcPr>
          <w:p>
            <w:pPr>
              <w:spacing w:line="264"/>
              <w:jc w:val="left"/>
            </w:pPr>
            <w:r>
              <w:rPr>
                <w:rFonts w:ascii="Times New Roman" w:eastAsia="SimSun"/>
                <w:b w:val="false"/>
                <w:bCs w:val="false"/>
                <w:color w:val="000000"/>
                <w:sz w:val="20"/>
                <w:szCs w:val="20"/>
              </w:rPr>
              <w:t xml:space="preserve">TMLR / 实证类</w:t>
            </w:r>
          </w:p>
        </w:tc>
        <w:tc>
          <w:tcPr>
            <w:tcW w:type="pct" w:w="1300"/>
            <w:shd w:fill="F2F6F5" w:val="clear"/>
            <w:tcMar>
              <w:top w:type="dxa" w:w="70"/>
              <w:left w:type="dxa" w:w="100"/>
              <w:bottom w:type="dxa" w:w="70"/>
              <w:right w:type="dxa" w:w="100"/>
            </w:tcMar>
          </w:tcPr>
          <w:p>
            <w:pPr>
              <w:spacing w:line="264"/>
              <w:jc w:val="left"/>
            </w:pPr>
            <w:r>
              <w:rPr>
                <w:rFonts w:ascii="Times New Roman" w:eastAsia="SimSun"/>
                <w:b w:val="false"/>
                <w:bCs w:val="false"/>
                <w:color w:val="000000"/>
                <w:sz w:val="20"/>
                <w:szCs w:val="20"/>
              </w:rPr>
              <w:t xml:space="preserve">TMLR / Machine Learning / Neurocomputing，规律清晰可上探</w:t>
            </w:r>
          </w:p>
        </w:tc>
        <w:tc>
          <w:tcPr>
            <w:tcW w:type="pct" w:w="1300"/>
            <w:shd w:fill="F2F6F5" w:val="clear"/>
            <w:tcMar>
              <w:top w:type="dxa" w:w="70"/>
              <w:left w:type="dxa" w:w="100"/>
              <w:bottom w:type="dxa" w:w="70"/>
              <w:right w:type="dxa" w:w="100"/>
            </w:tcMar>
          </w:tcPr>
          <w:p>
            <w:pPr>
              <w:spacing w:line="264"/>
              <w:jc w:val="left"/>
            </w:pPr>
            <w:r>
              <w:rPr>
                <w:rFonts w:ascii="Times New Roman" w:eastAsia="SimSun"/>
                <w:b w:val="false"/>
                <w:bCs w:val="false"/>
                <w:color w:val="000000"/>
                <w:sz w:val="20"/>
                <w:szCs w:val="20"/>
              </w:rPr>
              <w:t xml:space="preserve">方法类期刊或会议</w:t>
            </w:r>
          </w:p>
        </w:tc>
      </w:tr>
    </w:tbl>
    <w:p>
      <w:pPr>
        <w:pStyle w:val="Heading1"/>
        <w:spacing w:after="160" w:before="360" w:line="380" w:lineRule="atLeast"/>
      </w:pPr>
      <w:bookmarkStart w:name="_Toc23" w:id="23"/>
      <w:r>
        <w:rPr>
          <w:rFonts w:ascii="Times New Roman" w:eastAsia="SimHei"/>
          <w:b/>
          <w:bCs/>
          <w:color w:val="0B1C2C"/>
          <w:sz w:val="32"/>
          <w:szCs w:val="32"/>
        </w:rPr>
        <w:t xml:space="preserve">第五章 最推荐方案及实施步骤</w:t>
      </w:r>
      <w:bookmarkEnd w:id="23"/>
    </w:p>
    <w:p>
      <w:pPr>
        <w:keepNext w:val="false"/>
        <w:spacing w:after="80" w:line="312"/>
        <w:ind w:firstLine="480"/>
        <w:jc w:val="both"/>
      </w:pPr>
      <w:r>
        <w:rPr>
          <w:rFonts w:ascii="Times New Roman" w:eastAsia="SimSun"/>
          <w:b w:val="false"/>
          <w:bCs w:val="false"/>
          <w:color w:val="000000"/>
          <w:sz w:val="24"/>
          <w:szCs w:val="24"/>
        </w:rPr>
        <w:t xml:space="preserve">推荐方案 B。理由有三：它是唯一能在可控成本内把论文头牌从确认性内容换成规律性内容的路径；全部实验复用已通过位级复现门控的现有管线，边际风险低；即使规律平坦，结果仍以决策规则形态可用，失败残余价值最高。以下十步为具体实施清单，每步含完成判据。</w:t>
      </w:r>
    </w:p>
    <w:p>
      <w:pPr>
        <w:keepNext/>
        <w:spacing w:after="100" w:before="160" w:line="280"/>
        <w:jc w:val="center"/>
      </w:pPr>
      <w:r>
        <w:rPr>
          <w:rFonts w:ascii="Times New Roman" w:eastAsia="SimHei"/>
          <w:b/>
          <w:bCs/>
          <w:color w:val="404040"/>
          <w:sz w:val="21"/>
          <w:szCs w:val="21"/>
        </w:rPr>
        <w:t xml:space="preserve">表 5-1 方案 B 实施步骤（预计日历 4 至 6 周）</w:t>
      </w:r>
    </w:p>
    <w:tbl>
      <w:tblPr>
        <w:tblW w:type="pct" w:w="5000"/>
        <w:tblBorders>
          <w:top w:val="single" w:color="529286" w:sz="6"/>
          <w:left w:val="none" w:color="FFFFFF" w:sz="0"/>
          <w:bottom w:val="single" w:color="529286" w:sz="6"/>
          <w:right w:val="none" w:color="FFFFFF" w:sz="0"/>
          <w:insideH w:val="single" w:color="C8D4D0" w:sz="2"/>
          <w:insideV w:val="none" w:color="FFFFFF" w:sz="0"/>
        </w:tblBorders>
      </w:tblPr>
      <w:tblGrid>
        <w:gridCol w:w="1406"/>
        <w:gridCol w:w="4921"/>
        <w:gridCol w:w="2461"/>
      </w:tblGrid>
      <w:tr>
        <w:trPr>
          <w:cantSplit/>
          <w:tblHeader/>
        </w:trPr>
        <w:tc>
          <w:tcPr>
            <w:tcW w:type="pct" w:w="800"/>
            <w:shd w:fill="529286" w:val="clear"/>
            <w:tcMar>
              <w:top w:type="dxa" w:w="70"/>
              <w:left w:type="dxa" w:w="100"/>
              <w:bottom w:type="dxa" w:w="70"/>
              <w:right w:type="dxa" w:w="100"/>
            </w:tcMar>
          </w:tcPr>
          <w:p>
            <w:pPr>
              <w:spacing w:line="260"/>
              <w:jc w:val="center"/>
            </w:pPr>
            <w:r>
              <w:rPr>
                <w:rFonts w:ascii="Times New Roman" w:eastAsia="SimHei"/>
                <w:b/>
                <w:bCs/>
                <w:color w:val="FFFFFF"/>
                <w:sz w:val="19"/>
                <w:szCs w:val="19"/>
              </w:rPr>
              <w:t xml:space="preserve">步骤</w:t>
            </w:r>
          </w:p>
        </w:tc>
        <w:tc>
          <w:tcPr>
            <w:tcW w:type="pct" w:w="2800"/>
            <w:shd w:fill="529286" w:val="clear"/>
            <w:tcMar>
              <w:top w:type="dxa" w:w="70"/>
              <w:left w:type="dxa" w:w="100"/>
              <w:bottom w:type="dxa" w:w="70"/>
              <w:right w:type="dxa" w:w="100"/>
            </w:tcMar>
          </w:tcPr>
          <w:p>
            <w:pPr>
              <w:spacing w:line="260"/>
              <w:jc w:val="center"/>
            </w:pPr>
            <w:r>
              <w:rPr>
                <w:rFonts w:ascii="Times New Roman" w:eastAsia="SimHei"/>
                <w:b/>
                <w:bCs/>
                <w:color w:val="FFFFFF"/>
                <w:sz w:val="19"/>
                <w:szCs w:val="19"/>
              </w:rPr>
              <w:t xml:space="preserve">内容</w:t>
            </w:r>
          </w:p>
        </w:tc>
        <w:tc>
          <w:tcPr>
            <w:tcW w:type="pct" w:w="1400"/>
            <w:shd w:fill="529286" w:val="clear"/>
            <w:tcMar>
              <w:top w:type="dxa" w:w="70"/>
              <w:left w:type="dxa" w:w="100"/>
              <w:bottom w:type="dxa" w:w="70"/>
              <w:right w:type="dxa" w:w="100"/>
            </w:tcMar>
          </w:tcPr>
          <w:p>
            <w:pPr>
              <w:spacing w:line="260"/>
              <w:jc w:val="center"/>
            </w:pPr>
            <w:r>
              <w:rPr>
                <w:rFonts w:ascii="Times New Roman" w:eastAsia="SimHei"/>
                <w:b/>
                <w:bCs/>
                <w:color w:val="FFFFFF"/>
                <w:sz w:val="19"/>
                <w:szCs w:val="19"/>
              </w:rPr>
              <w:t xml:space="preserve">完成判据</w:t>
            </w:r>
          </w:p>
        </w:tc>
      </w:tr>
      <w:tr>
        <w:trPr>
          <w:cantSplit/>
        </w:trPr>
        <w:tc>
          <w:tcPr>
            <w:tcW w:type="pct" w:w="800"/>
            <w:tcMar>
              <w:top w:type="dxa" w:w="70"/>
              <w:left w:type="dxa" w:w="100"/>
              <w:bottom w:type="dxa" w:w="70"/>
              <w:right w:type="dxa" w:w="100"/>
            </w:tcMar>
          </w:tcPr>
          <w:p>
            <w:pPr>
              <w:spacing w:line="264"/>
              <w:jc w:val="left"/>
            </w:pPr>
            <w:r>
              <w:rPr>
                <w:rFonts w:ascii="Times New Roman" w:eastAsia="SimSun"/>
                <w:b w:val="false"/>
                <w:bCs w:val="false"/>
                <w:color w:val="000000"/>
                <w:sz w:val="19"/>
                <w:szCs w:val="19"/>
              </w:rPr>
              <w:t xml:space="preserve">1. 预注册补丁</w:t>
            </w:r>
          </w:p>
        </w:tc>
        <w:tc>
          <w:tcPr>
            <w:tcW w:type="pct" w:w="2800"/>
            <w:tcMar>
              <w:top w:type="dxa" w:w="70"/>
              <w:left w:type="dxa" w:w="100"/>
              <w:bottom w:type="dxa" w:w="70"/>
              <w:right w:type="dxa" w:w="100"/>
            </w:tcMar>
          </w:tcPr>
          <w:p>
            <w:pPr>
              <w:spacing w:line="264"/>
              <w:jc w:val="left"/>
            </w:pPr>
            <w:r>
              <w:rPr>
                <w:rFonts w:ascii="Times New Roman" w:eastAsia="SimSun"/>
                <w:b w:val="false"/>
                <w:bCs w:val="false"/>
                <w:color w:val="000000"/>
                <w:sz w:val="19"/>
                <w:szCs w:val="19"/>
              </w:rPr>
              <w:t xml:space="preserve">在 research-docs 新增 addendum-design-kB.md：三假设、对比族、趋势检验、所有格点与种子数，先于任何新数据收集</w:t>
            </w:r>
          </w:p>
        </w:tc>
        <w:tc>
          <w:tcPr>
            <w:tcW w:type="pct" w:w="1400"/>
            <w:tcMar>
              <w:top w:type="dxa" w:w="70"/>
              <w:left w:type="dxa" w:w="100"/>
              <w:bottom w:type="dxa" w:w="70"/>
              <w:right w:type="dxa" w:w="100"/>
            </w:tcMar>
          </w:tcPr>
          <w:p>
            <w:pPr>
              <w:spacing w:line="264"/>
              <w:jc w:val="left"/>
            </w:pPr>
            <w:r>
              <w:rPr>
                <w:rFonts w:ascii="Times New Roman" w:eastAsia="SimSun"/>
                <w:b w:val="false"/>
                <w:bCs w:val="false"/>
                <w:color w:val="000000"/>
                <w:sz w:val="19"/>
                <w:szCs w:val="19"/>
              </w:rPr>
              <w:t xml:space="preserve">文档入库并有日期戳</w:t>
            </w:r>
          </w:p>
        </w:tc>
      </w:tr>
      <w:tr>
        <w:trPr>
          <w:cantSplit/>
        </w:trPr>
        <w:tc>
          <w:tcPr>
            <w:tcW w:type="pct" w:w="800"/>
            <w:shd w:fill="F2F6F5" w:val="clear"/>
            <w:tcMar>
              <w:top w:type="dxa" w:w="70"/>
              <w:left w:type="dxa" w:w="100"/>
              <w:bottom w:type="dxa" w:w="70"/>
              <w:right w:type="dxa" w:w="100"/>
            </w:tcMar>
          </w:tcPr>
          <w:p>
            <w:pPr>
              <w:spacing w:line="264"/>
              <w:jc w:val="left"/>
            </w:pPr>
            <w:r>
              <w:rPr>
                <w:rFonts w:ascii="Times New Roman" w:eastAsia="SimSun"/>
                <w:b w:val="false"/>
                <w:bCs w:val="false"/>
                <w:color w:val="000000"/>
                <w:sz w:val="19"/>
                <w:szCs w:val="19"/>
              </w:rPr>
              <w:t xml:space="preserve">2. 管线确认</w:t>
            </w:r>
          </w:p>
        </w:tc>
        <w:tc>
          <w:tcPr>
            <w:tcW w:type="pct" w:w="2800"/>
            <w:shd w:fill="F2F6F5" w:val="clear"/>
            <w:tcMar>
              <w:top w:type="dxa" w:w="70"/>
              <w:left w:type="dxa" w:w="100"/>
              <w:bottom w:type="dxa" w:w="70"/>
              <w:right w:type="dxa" w:w="100"/>
            </w:tcMar>
          </w:tcPr>
          <w:p>
            <w:pPr>
              <w:spacing w:line="264"/>
              <w:jc w:val="left"/>
            </w:pPr>
            <w:r>
              <w:rPr>
                <w:rFonts w:ascii="Times New Roman" w:eastAsia="SimSun"/>
                <w:b w:val="false"/>
                <w:bCs w:val="false"/>
                <w:color w:val="000000"/>
                <w:sz w:val="19"/>
                <w:szCs w:val="19"/>
              </w:rPr>
              <w:t xml:space="preserve">核对 run_experiments_v2.py 的 k/budget 参数化路径与快照组织方式（k 个 B/k 循环）；seed0 试跑一组做位级一致性门控</w:t>
            </w:r>
          </w:p>
        </w:tc>
        <w:tc>
          <w:tcPr>
            <w:tcW w:type="pct" w:w="1400"/>
            <w:shd w:fill="F2F6F5" w:val="clear"/>
            <w:tcMar>
              <w:top w:type="dxa" w:w="70"/>
              <w:left w:type="dxa" w:w="100"/>
              <w:bottom w:type="dxa" w:w="70"/>
              <w:right w:type="dxa" w:w="100"/>
            </w:tcMar>
          </w:tcPr>
          <w:p>
            <w:pPr>
              <w:spacing w:line="264"/>
              <w:jc w:val="left"/>
            </w:pPr>
            <w:r>
              <w:rPr>
                <w:rFonts w:ascii="Times New Roman" w:eastAsia="SimSun"/>
                <w:b w:val="false"/>
                <w:bCs w:val="false"/>
                <w:color w:val="000000"/>
                <w:sz w:val="19"/>
                <w:szCs w:val="19"/>
              </w:rPr>
              <w:t xml:space="preserve">k=3 设置与既有记录位级一致</w:t>
            </w:r>
          </w:p>
        </w:tc>
      </w:tr>
      <w:tr>
        <w:trPr>
          <w:cantSplit/>
        </w:trPr>
        <w:tc>
          <w:tcPr>
            <w:tcW w:type="pct" w:w="800"/>
            <w:tcMar>
              <w:top w:type="dxa" w:w="70"/>
              <w:left w:type="dxa" w:w="100"/>
              <w:bottom w:type="dxa" w:w="70"/>
              <w:right w:type="dxa" w:w="100"/>
            </w:tcMar>
          </w:tcPr>
          <w:p>
            <w:pPr>
              <w:spacing w:line="264"/>
              <w:jc w:val="left"/>
            </w:pPr>
            <w:r>
              <w:rPr>
                <w:rFonts w:ascii="Times New Roman" w:eastAsia="SimSun"/>
                <w:b w:val="false"/>
                <w:bCs w:val="false"/>
                <w:color w:val="000000"/>
                <w:sz w:val="19"/>
                <w:szCs w:val="19"/>
              </w:rPr>
              <w:t xml:space="preserve">3. 实验矩阵</w:t>
            </w:r>
          </w:p>
        </w:tc>
        <w:tc>
          <w:tcPr>
            <w:tcW w:type="pct" w:w="2800"/>
            <w:tcMar>
              <w:top w:type="dxa" w:w="70"/>
              <w:left w:type="dxa" w:w="100"/>
              <w:bottom w:type="dxa" w:w="70"/>
              <w:right w:type="dxa" w:w="100"/>
            </w:tcMar>
          </w:tcPr>
          <w:p>
            <w:pPr>
              <w:spacing w:line="264"/>
              <w:jc w:val="left"/>
            </w:pPr>
            <w:r>
              <w:rPr>
                <w:rFonts w:ascii="Times New Roman" w:eastAsia="SimSun"/>
                <w:b w:val="false"/>
                <w:bCs w:val="false"/>
                <w:color w:val="000000"/>
                <w:sz w:val="19"/>
                <w:szCs w:val="19"/>
              </w:rPr>
              <w:t xml:space="preserve">FMNIST：(k=2,5,8) x (B=30,120) 加 k=2,8 于 B=60，共 8 配置；MNIST 与 CIFAR 各 (k=2,5) 于 B=60，共 4 配置；全部 10 种子</w:t>
            </w:r>
          </w:p>
        </w:tc>
        <w:tc>
          <w:tcPr>
            <w:tcW w:type="pct" w:w="1400"/>
            <w:tcMar>
              <w:top w:type="dxa" w:w="70"/>
              <w:left w:type="dxa" w:w="100"/>
              <w:bottom w:type="dxa" w:w="70"/>
              <w:right w:type="dxa" w:w="100"/>
            </w:tcMar>
          </w:tcPr>
          <w:p>
            <w:pPr>
              <w:spacing w:line="264"/>
              <w:jc w:val="left"/>
            </w:pPr>
            <w:r>
              <w:rPr>
                <w:rFonts w:ascii="Times New Roman" w:eastAsia="SimSun"/>
                <w:b w:val="false"/>
                <w:bCs w:val="false"/>
                <w:color w:val="000000"/>
                <w:sz w:val="19"/>
                <w:szCs w:val="19"/>
              </w:rPr>
              <w:t xml:space="preserve">12 个新 JSONL 齐全，无 NaN</w:t>
            </w:r>
          </w:p>
        </w:tc>
      </w:tr>
      <w:tr>
        <w:trPr>
          <w:cantSplit/>
        </w:trPr>
        <w:tc>
          <w:tcPr>
            <w:tcW w:type="pct" w:w="800"/>
            <w:shd w:fill="F2F6F5" w:val="clear"/>
            <w:tcMar>
              <w:top w:type="dxa" w:w="70"/>
              <w:left w:type="dxa" w:w="100"/>
              <w:bottom w:type="dxa" w:w="70"/>
              <w:right w:type="dxa" w:w="100"/>
            </w:tcMar>
          </w:tcPr>
          <w:p>
            <w:pPr>
              <w:spacing w:line="264"/>
              <w:jc w:val="left"/>
            </w:pPr>
            <w:r>
              <w:rPr>
                <w:rFonts w:ascii="Times New Roman" w:eastAsia="SimSun"/>
                <w:b w:val="false"/>
                <w:bCs w:val="false"/>
                <w:color w:val="000000"/>
                <w:sz w:val="19"/>
                <w:szCs w:val="19"/>
              </w:rPr>
              <w:t xml:space="preserve">4. 统计分析</w:t>
            </w:r>
          </w:p>
        </w:tc>
        <w:tc>
          <w:tcPr>
            <w:tcW w:type="pct" w:w="2800"/>
            <w:shd w:fill="F2F6F5" w:val="clear"/>
            <w:tcMar>
              <w:top w:type="dxa" w:w="70"/>
              <w:left w:type="dxa" w:w="100"/>
              <w:bottom w:type="dxa" w:w="70"/>
              <w:right w:type="dxa" w:w="100"/>
            </w:tcMar>
          </w:tcPr>
          <w:p>
            <w:pPr>
              <w:spacing w:line="264"/>
              <w:jc w:val="left"/>
            </w:pPr>
            <w:r>
              <w:rPr>
                <w:rFonts w:ascii="Times New Roman" w:eastAsia="SimSun"/>
                <w:b w:val="false"/>
                <w:bCs w:val="false"/>
                <w:color w:val="000000"/>
                <w:sz w:val="19"/>
                <w:szCs w:val="19"/>
              </w:rPr>
              <w:t xml:space="preserve">按预注册族执行 analyze 扩展：每 B 的 k 对比（Holm）+ 跨 k 趋势 + ECE/OOD 次级</w:t>
            </w:r>
          </w:p>
        </w:tc>
        <w:tc>
          <w:tcPr>
            <w:tcW w:type="pct" w:w="1400"/>
            <w:shd w:fill="F2F6F5" w:val="clear"/>
            <w:tcMar>
              <w:top w:type="dxa" w:w="70"/>
              <w:left w:type="dxa" w:w="100"/>
              <w:bottom w:type="dxa" w:w="70"/>
              <w:right w:type="dxa" w:w="100"/>
            </w:tcMar>
          </w:tcPr>
          <w:p>
            <w:pPr>
              <w:spacing w:line="264"/>
              <w:jc w:val="left"/>
            </w:pPr>
            <w:r>
              <w:rPr>
                <w:rFonts w:ascii="Times New Roman" w:eastAsia="SimSun"/>
                <w:b w:val="false"/>
                <w:bCs w:val="false"/>
                <w:color w:val="000000"/>
                <w:sz w:val="19"/>
                <w:szCs w:val="19"/>
              </w:rPr>
              <w:t xml:space="preserve"> contrasts.csv 全量产出</w:t>
            </w:r>
          </w:p>
        </w:tc>
      </w:tr>
      <w:tr>
        <w:trPr>
          <w:cantSplit/>
        </w:trPr>
        <w:tc>
          <w:tcPr>
            <w:tcW w:type="pct" w:w="800"/>
            <w:tcMar>
              <w:top w:type="dxa" w:w="70"/>
              <w:left w:type="dxa" w:w="100"/>
              <w:bottom w:type="dxa" w:w="70"/>
              <w:right w:type="dxa" w:w="100"/>
            </w:tcMar>
          </w:tcPr>
          <w:p>
            <w:pPr>
              <w:spacing w:line="264"/>
              <w:jc w:val="left"/>
            </w:pPr>
            <w:r>
              <w:rPr>
                <w:rFonts w:ascii="Times New Roman" w:eastAsia="SimSun"/>
                <w:b w:val="false"/>
                <w:bCs w:val="false"/>
                <w:color w:val="000000"/>
                <w:sz w:val="19"/>
                <w:szCs w:val="19"/>
              </w:rPr>
              <w:t xml:space="preserve">5. 结果判定</w:t>
            </w:r>
          </w:p>
        </w:tc>
        <w:tc>
          <w:tcPr>
            <w:tcW w:type="pct" w:w="2800"/>
            <w:tcMar>
              <w:top w:type="dxa" w:w="70"/>
              <w:left w:type="dxa" w:w="100"/>
              <w:bottom w:type="dxa" w:w="70"/>
              <w:right w:type="dxa" w:w="100"/>
            </w:tcMar>
          </w:tcPr>
          <w:p>
            <w:pPr>
              <w:spacing w:line="264"/>
              <w:jc w:val="left"/>
            </w:pPr>
            <w:r>
              <w:rPr>
                <w:rFonts w:ascii="Times New Roman" w:eastAsia="SimSun"/>
                <w:b w:val="false"/>
                <w:bCs w:val="false"/>
                <w:color w:val="000000"/>
                <w:sz w:val="19"/>
                <w:szCs w:val="19"/>
              </w:rPr>
              <w:t xml:space="preserve">按 4.2 的证伪条件判定 H1/H2/H3；把判定结论写进 addendum（无论方向）</w:t>
            </w:r>
          </w:p>
        </w:tc>
        <w:tc>
          <w:tcPr>
            <w:tcW w:type="pct" w:w="1400"/>
            <w:tcMar>
              <w:top w:type="dxa" w:w="70"/>
              <w:left w:type="dxa" w:w="100"/>
              <w:bottom w:type="dxa" w:w="70"/>
              <w:right w:type="dxa" w:w="100"/>
            </w:tcMar>
          </w:tcPr>
          <w:p>
            <w:pPr>
              <w:spacing w:line="264"/>
              <w:jc w:val="left"/>
            </w:pPr>
            <w:r>
              <w:rPr>
                <w:rFonts w:ascii="Times New Roman" w:eastAsia="SimSun"/>
                <w:b w:val="false"/>
                <w:bCs w:val="false"/>
                <w:color w:val="000000"/>
                <w:sz w:val="19"/>
                <w:szCs w:val="19"/>
              </w:rPr>
              <w:t xml:space="preserve">三个假设各有一个明确判定</w:t>
            </w:r>
          </w:p>
        </w:tc>
      </w:tr>
      <w:tr>
        <w:trPr>
          <w:cantSplit/>
        </w:trPr>
        <w:tc>
          <w:tcPr>
            <w:tcW w:type="pct" w:w="800"/>
            <w:shd w:fill="F2F6F5" w:val="clear"/>
            <w:tcMar>
              <w:top w:type="dxa" w:w="70"/>
              <w:left w:type="dxa" w:w="100"/>
              <w:bottom w:type="dxa" w:w="70"/>
              <w:right w:type="dxa" w:w="100"/>
            </w:tcMar>
          </w:tcPr>
          <w:p>
            <w:pPr>
              <w:spacing w:line="264"/>
              <w:jc w:val="left"/>
            </w:pPr>
            <w:r>
              <w:rPr>
                <w:rFonts w:ascii="Times New Roman" w:eastAsia="SimSun"/>
                <w:b w:val="false"/>
                <w:bCs w:val="false"/>
                <w:color w:val="000000"/>
                <w:sz w:val="19"/>
                <w:szCs w:val="19"/>
              </w:rPr>
              <w:t xml:space="preserve">6. 机制图</w:t>
            </w:r>
          </w:p>
        </w:tc>
        <w:tc>
          <w:tcPr>
            <w:tcW w:type="pct" w:w="2800"/>
            <w:shd w:fill="F2F6F5" w:val="clear"/>
            <w:tcMar>
              <w:top w:type="dxa" w:w="70"/>
              <w:left w:type="dxa" w:w="100"/>
              <w:bottom w:type="dxa" w:w="70"/>
              <w:right w:type="dxa" w:w="100"/>
            </w:tcMar>
          </w:tcPr>
          <w:p>
            <w:pPr>
              <w:spacing w:line="264"/>
              <w:jc w:val="left"/>
            </w:pPr>
            <w:r>
              <w:rPr>
                <w:rFonts w:ascii="Times New Roman" w:eastAsia="SimSun"/>
                <w:b w:val="false"/>
                <w:bCs w:val="false"/>
                <w:color w:val="000000"/>
                <w:sz w:val="19"/>
                <w:szCs w:val="19"/>
              </w:rPr>
              <w:t xml:space="preserve">用既有 histories 画 val-NLL 轨迹随 B 的触底-恶化图（数据已在，标注探索性）</w:t>
            </w:r>
          </w:p>
        </w:tc>
        <w:tc>
          <w:tcPr>
            <w:tcW w:type="pct" w:w="1400"/>
            <w:shd w:fill="F2F6F5" w:val="clear"/>
            <w:tcMar>
              <w:top w:type="dxa" w:w="70"/>
              <w:left w:type="dxa" w:w="100"/>
              <w:bottom w:type="dxa" w:w="70"/>
              <w:right w:type="dxa" w:w="100"/>
            </w:tcMar>
          </w:tcPr>
          <w:p>
            <w:pPr>
              <w:spacing w:line="264"/>
              <w:jc w:val="left"/>
            </w:pPr>
            <w:r>
              <w:rPr>
                <w:rFonts w:ascii="Times New Roman" w:eastAsia="SimSun"/>
                <w:b w:val="false"/>
                <w:bCs w:val="false"/>
                <w:color w:val="000000"/>
                <w:sz w:val="19"/>
                <w:szCs w:val="19"/>
              </w:rPr>
              <w:t xml:space="preserve">图与源数据入库</w:t>
            </w:r>
          </w:p>
        </w:tc>
      </w:tr>
      <w:tr>
        <w:trPr>
          <w:cantSplit/>
        </w:trPr>
        <w:tc>
          <w:tcPr>
            <w:tcW w:type="pct" w:w="800"/>
            <w:tcMar>
              <w:top w:type="dxa" w:w="70"/>
              <w:left w:type="dxa" w:w="100"/>
              <w:bottom w:type="dxa" w:w="70"/>
              <w:right w:type="dxa" w:w="100"/>
            </w:tcMar>
          </w:tcPr>
          <w:p>
            <w:pPr>
              <w:spacing w:line="264"/>
              <w:jc w:val="left"/>
            </w:pPr>
            <w:r>
              <w:rPr>
                <w:rFonts w:ascii="Times New Roman" w:eastAsia="SimSun"/>
                <w:b w:val="false"/>
                <w:bCs w:val="false"/>
                <w:color w:val="000000"/>
                <w:sz w:val="19"/>
                <w:szCs w:val="19"/>
              </w:rPr>
              <w:t xml:space="preserve">7. 论文重构</w:t>
            </w:r>
          </w:p>
        </w:tc>
        <w:tc>
          <w:tcPr>
            <w:tcW w:type="pct" w:w="2800"/>
            <w:tcMar>
              <w:top w:type="dxa" w:w="70"/>
              <w:left w:type="dxa" w:w="100"/>
              <w:bottom w:type="dxa" w:w="70"/>
              <w:right w:type="dxa" w:w="100"/>
            </w:tcMar>
          </w:tcPr>
          <w:p>
            <w:pPr>
              <w:spacing w:line="264"/>
              <w:jc w:val="left"/>
            </w:pPr>
            <w:r>
              <w:rPr>
                <w:rFonts w:ascii="Times New Roman" w:eastAsia="SimSun"/>
                <w:b w:val="false"/>
                <w:bCs w:val="false"/>
                <w:color w:val="000000"/>
                <w:sz w:val="19"/>
                <w:szCs w:val="19"/>
              </w:rPr>
              <w:t xml:space="preserve">新标题与新摘要（见下）；预算放大规律升为主结果之一；确认性内容压缩为稳健性章节；排名稳定性一小节（标注探索性）</w:t>
            </w:r>
          </w:p>
        </w:tc>
        <w:tc>
          <w:tcPr>
            <w:tcW w:type="pct" w:w="1400"/>
            <w:tcMar>
              <w:top w:type="dxa" w:w="70"/>
              <w:left w:type="dxa" w:w="100"/>
              <w:bottom w:type="dxa" w:w="70"/>
              <w:right w:type="dxa" w:w="100"/>
            </w:tcMar>
          </w:tcPr>
          <w:p>
            <w:pPr>
              <w:spacing w:line="264"/>
              <w:jc w:val="left"/>
            </w:pPr>
            <w:r>
              <w:rPr>
                <w:rFonts w:ascii="Times New Roman" w:eastAsia="SimSun"/>
                <w:b w:val="false"/>
                <w:bCs w:val="false"/>
                <w:color w:val="000000"/>
                <w:sz w:val="19"/>
                <w:szCs w:val="19"/>
              </w:rPr>
              <w:t xml:space="preserve">v5.0.0 草稿完成</w:t>
            </w:r>
          </w:p>
        </w:tc>
      </w:tr>
      <w:tr>
        <w:trPr>
          <w:cantSplit/>
        </w:trPr>
        <w:tc>
          <w:tcPr>
            <w:tcW w:type="pct" w:w="800"/>
            <w:shd w:fill="F2F6F5" w:val="clear"/>
            <w:tcMar>
              <w:top w:type="dxa" w:w="70"/>
              <w:left w:type="dxa" w:w="100"/>
              <w:bottom w:type="dxa" w:w="70"/>
              <w:right w:type="dxa" w:w="100"/>
            </w:tcMar>
          </w:tcPr>
          <w:p>
            <w:pPr>
              <w:spacing w:line="264"/>
              <w:jc w:val="left"/>
            </w:pPr>
            <w:r>
              <w:rPr>
                <w:rFonts w:ascii="Times New Roman" w:eastAsia="SimSun"/>
                <w:b w:val="false"/>
                <w:bCs w:val="false"/>
                <w:color w:val="000000"/>
                <w:sz w:val="19"/>
                <w:szCs w:val="19"/>
              </w:rPr>
              <w:t xml:space="preserve">8. 内部审计</w:t>
            </w:r>
          </w:p>
        </w:tc>
        <w:tc>
          <w:tcPr>
            <w:tcW w:type="pct" w:w="2800"/>
            <w:shd w:fill="F2F6F5" w:val="clear"/>
            <w:tcMar>
              <w:top w:type="dxa" w:w="70"/>
              <w:left w:type="dxa" w:w="100"/>
              <w:bottom w:type="dxa" w:w="70"/>
              <w:right w:type="dxa" w:w="100"/>
            </w:tcMar>
          </w:tcPr>
          <w:p>
            <w:pPr>
              <w:spacing w:line="264"/>
              <w:jc w:val="left"/>
            </w:pPr>
            <w:r>
              <w:rPr>
                <w:rFonts w:ascii="Times New Roman" w:eastAsia="SimSun"/>
                <w:b w:val="false"/>
                <w:bCs w:val="false"/>
                <w:color w:val="000000"/>
                <w:sz w:val="19"/>
                <w:szCs w:val="19"/>
              </w:rPr>
              <w:t xml:space="preserve">复用 v4.1 审计管线：主张-证据矩阵更新、全部新数值独立复算、红线检查（不删除既有边界条件表述）</w:t>
            </w:r>
          </w:p>
        </w:tc>
        <w:tc>
          <w:tcPr>
            <w:tcW w:type="pct" w:w="1400"/>
            <w:shd w:fill="F2F6F5" w:val="clear"/>
            <w:tcMar>
              <w:top w:type="dxa" w:w="70"/>
              <w:left w:type="dxa" w:w="100"/>
              <w:bottom w:type="dxa" w:w="70"/>
              <w:right w:type="dxa" w:w="100"/>
            </w:tcMar>
          </w:tcPr>
          <w:p>
            <w:pPr>
              <w:spacing w:line="264"/>
              <w:jc w:val="left"/>
            </w:pPr>
            <w:r>
              <w:rPr>
                <w:rFonts w:ascii="Times New Roman" w:eastAsia="SimSun"/>
                <w:b w:val="false"/>
                <w:bCs w:val="false"/>
                <w:color w:val="000000"/>
                <w:sz w:val="19"/>
                <w:szCs w:val="19"/>
              </w:rPr>
              <w:t xml:space="preserve">核验报告全过</w:t>
            </w:r>
          </w:p>
        </w:tc>
      </w:tr>
      <w:tr>
        <w:trPr>
          <w:cantSplit/>
        </w:trPr>
        <w:tc>
          <w:tcPr>
            <w:tcW w:type="pct" w:w="800"/>
            <w:tcMar>
              <w:top w:type="dxa" w:w="70"/>
              <w:left w:type="dxa" w:w="100"/>
              <w:bottom w:type="dxa" w:w="70"/>
              <w:right w:type="dxa" w:w="100"/>
            </w:tcMar>
          </w:tcPr>
          <w:p>
            <w:pPr>
              <w:spacing w:line="264"/>
              <w:jc w:val="left"/>
            </w:pPr>
            <w:r>
              <w:rPr>
                <w:rFonts w:ascii="Times New Roman" w:eastAsia="SimSun"/>
                <w:b w:val="false"/>
                <w:bCs w:val="false"/>
                <w:color w:val="000000"/>
                <w:sz w:val="19"/>
                <w:szCs w:val="19"/>
              </w:rPr>
              <w:t xml:space="preserve">9. 投稿包</w:t>
            </w:r>
          </w:p>
        </w:tc>
        <w:tc>
          <w:tcPr>
            <w:tcW w:type="pct" w:w="2800"/>
            <w:tcMar>
              <w:top w:type="dxa" w:w="70"/>
              <w:left w:type="dxa" w:w="100"/>
              <w:bottom w:type="dxa" w:w="70"/>
              <w:right w:type="dxa" w:w="100"/>
            </w:tcMar>
          </w:tcPr>
          <w:p>
            <w:pPr>
              <w:spacing w:line="264"/>
              <w:jc w:val="left"/>
            </w:pPr>
            <w:r>
              <w:rPr>
                <w:rFonts w:ascii="Times New Roman" w:eastAsia="SimSun"/>
                <w:b w:val="false"/>
                <w:bCs w:val="false"/>
                <w:color w:val="000000"/>
                <w:sz w:val="19"/>
                <w:szCs w:val="19"/>
              </w:rPr>
              <w:t xml:space="preserve">按目标期刊界面重建（LaTeX 源 + Cover Letter + 贡献声明）；披露政策按期刊逐项处理</w:t>
            </w:r>
          </w:p>
        </w:tc>
        <w:tc>
          <w:tcPr>
            <w:tcW w:type="pct" w:w="1400"/>
            <w:tcMar>
              <w:top w:type="dxa" w:w="70"/>
              <w:left w:type="dxa" w:w="100"/>
              <w:bottom w:type="dxa" w:w="70"/>
              <w:right w:type="dxa" w:w="100"/>
            </w:tcMar>
          </w:tcPr>
          <w:p>
            <w:pPr>
              <w:spacing w:line="264"/>
              <w:jc w:val="left"/>
            </w:pPr>
            <w:r>
              <w:rPr>
                <w:rFonts w:ascii="Times New Roman" w:eastAsia="SimSun"/>
                <w:b w:val="false"/>
                <w:bCs w:val="false"/>
                <w:color w:val="000000"/>
                <w:sz w:val="19"/>
                <w:szCs w:val="19"/>
              </w:rPr>
              <w:t xml:space="preserve">包完整且与仓库 release 一致</w:t>
            </w:r>
          </w:p>
        </w:tc>
      </w:tr>
      <w:tr>
        <w:trPr>
          <w:cantSplit/>
        </w:trPr>
        <w:tc>
          <w:tcPr>
            <w:tcW w:type="pct" w:w="800"/>
            <w:shd w:fill="F2F6F5" w:val="clear"/>
            <w:tcMar>
              <w:top w:type="dxa" w:w="70"/>
              <w:left w:type="dxa" w:w="100"/>
              <w:bottom w:type="dxa" w:w="70"/>
              <w:right w:type="dxa" w:w="100"/>
            </w:tcMar>
          </w:tcPr>
          <w:p>
            <w:pPr>
              <w:spacing w:line="264"/>
              <w:jc w:val="left"/>
            </w:pPr>
            <w:r>
              <w:rPr>
                <w:rFonts w:ascii="Times New Roman" w:eastAsia="SimSun"/>
                <w:b w:val="false"/>
                <w:bCs w:val="false"/>
                <w:color w:val="000000"/>
                <w:sz w:val="19"/>
                <w:szCs w:val="19"/>
              </w:rPr>
              <w:t xml:space="preserve">10. 投稿与记录</w:t>
            </w:r>
          </w:p>
        </w:tc>
        <w:tc>
          <w:tcPr>
            <w:tcW w:type="pct" w:w="2800"/>
            <w:shd w:fill="F2F6F5" w:val="clear"/>
            <w:tcMar>
              <w:top w:type="dxa" w:w="70"/>
              <w:left w:type="dxa" w:w="100"/>
              <w:bottom w:type="dxa" w:w="70"/>
              <w:right w:type="dxa" w:w="100"/>
            </w:tcMar>
          </w:tcPr>
          <w:p>
            <w:pPr>
              <w:spacing w:line="264"/>
              <w:jc w:val="left"/>
            </w:pPr>
            <w:r>
              <w:rPr>
                <w:rFonts w:ascii="Times New Roman" w:eastAsia="SimSun"/>
                <w:b w:val="false"/>
                <w:bCs w:val="false"/>
                <w:color w:val="000000"/>
                <w:sz w:val="19"/>
                <w:szCs w:val="19"/>
              </w:rPr>
              <w:t xml:space="preserve">提交；把审稿意见与处置逐条归档到 research-docs</w:t>
            </w:r>
          </w:p>
        </w:tc>
        <w:tc>
          <w:tcPr>
            <w:tcW w:type="pct" w:w="1400"/>
            <w:shd w:fill="F2F6F5" w:val="clear"/>
            <w:tcMar>
              <w:top w:type="dxa" w:w="70"/>
              <w:left w:type="dxa" w:w="100"/>
              <w:bottom w:type="dxa" w:w="70"/>
              <w:right w:type="dxa" w:w="100"/>
            </w:tcMar>
          </w:tcPr>
          <w:p>
            <w:pPr>
              <w:spacing w:line="264"/>
              <w:jc w:val="left"/>
            </w:pPr>
            <w:r>
              <w:rPr>
                <w:rFonts w:ascii="Times New Roman" w:eastAsia="SimSun"/>
                <w:b w:val="false"/>
                <w:bCs w:val="false"/>
                <w:color w:val="000000"/>
                <w:sz w:val="19"/>
                <w:szCs w:val="19"/>
              </w:rPr>
              <w:t xml:space="preserve">提交确认号 + 意见归档</w:t>
            </w:r>
          </w:p>
        </w:tc>
      </w:tr>
    </w:tbl>
    <w:p>
      <w:pPr>
        <w:keepNext w:val="false"/>
        <w:spacing w:after="80" w:line="312"/>
        <w:ind w:firstLine="480"/>
        <w:jc w:val="both"/>
      </w:pPr>
      <w:r>
        <w:rPr>
          <w:rFonts w:ascii="Times New Roman" w:eastAsia="SimSun"/>
          <w:b w:val="false"/>
          <w:bCs w:val="false"/>
          <w:color w:val="000000"/>
          <w:sz w:val="24"/>
          <w:szCs w:val="24"/>
        </w:rPr>
        <w:t xml:space="preserve">新标题候选（问题式，避免共识句式）：How to spend a fixed training budget: ensemble size, calibration and inference cost；或 The calibration-optimal budget split: how many restarts to train under fixed compute。摘要第一句必须直接陈述未知问题（固定预算下最优成员数未知），第一段末给出 k*(B) 的实测答案。定位段须补引 Kondratyuk et al. 2020 并说明容量轴与时长轴的差别。</w:t>
      </w:r>
    </w:p>
    <w:p>
      <w:pPr>
        <w:pStyle w:val="Heading1"/>
        <w:spacing w:after="160" w:before="360" w:line="380" w:lineRule="atLeast"/>
      </w:pPr>
      <w:bookmarkStart w:name="_Toc24" w:id="24"/>
      <w:r>
        <w:rPr>
          <w:rFonts w:ascii="Times New Roman" w:eastAsia="SimHei"/>
          <w:b/>
          <w:bCs/>
          <w:color w:val="0B1C2C"/>
          <w:sz w:val="32"/>
          <w:szCs w:val="32"/>
        </w:rPr>
        <w:t xml:space="preserve">第六章 新增实验必要性清单</w:t>
      </w:r>
      <w:bookmarkEnd w:id="24"/>
    </w:p>
    <w:p>
      <w:pPr>
        <w:keepNext w:val="false"/>
        <w:spacing w:after="80" w:line="312"/>
        <w:ind w:firstLine="480"/>
        <w:jc w:val="both"/>
      </w:pPr>
      <w:r>
        <w:rPr>
          <w:rFonts w:ascii="Times New Roman" w:eastAsia="SimSun"/>
          <w:b w:val="false"/>
          <w:bCs w:val="false"/>
          <w:color w:val="000000"/>
          <w:sz w:val="24"/>
          <w:szCs w:val="24"/>
        </w:rPr>
        <w:t xml:space="preserve">本章回答两个问题：哪些新实验必须做；以及哪些分析可以从现有数据免费获得。后者的检验已在本次审计完成（标注探索性），结论如下。</w:t>
      </w:r>
    </w:p>
    <w:p>
      <w:pPr>
        <w:pStyle w:val="Heading2"/>
        <w:spacing w:after="120" w:before="260" w:line="350" w:lineRule="atLeast"/>
      </w:pPr>
      <w:bookmarkStart w:name="_Toc25" w:id="25"/>
      <w:r>
        <w:rPr>
          <w:rFonts w:ascii="Times New Roman" w:eastAsia="SimHei"/>
          <w:b/>
          <w:bCs/>
          <w:color w:val="0B1C2C"/>
          <w:sz w:val="28"/>
          <w:szCs w:val="28"/>
        </w:rPr>
        <w:t xml:space="preserve">6.1 从现有数据可挖的分析（本次审计已完成检验）</w:t>
      </w:r>
      <w:bookmarkEnd w:id="25"/>
    </w:p>
    <w:p>
      <w:pPr>
        <w:keepNext/>
        <w:spacing w:after="100" w:before="160" w:line="280"/>
        <w:jc w:val="center"/>
      </w:pPr>
      <w:r>
        <w:rPr>
          <w:rFonts w:ascii="Times New Roman" w:eastAsia="SimHei"/>
          <w:b/>
          <w:bCs/>
          <w:color w:val="404040"/>
          <w:sz w:val="21"/>
          <w:szCs w:val="21"/>
        </w:rPr>
        <w:t xml:space="preserve">表 6-1 现有数据挖掘结论（全部标注为探索性）</w:t>
      </w:r>
    </w:p>
    <w:tbl>
      <w:tblPr>
        <w:tblW w:type="pct" w:w="5000"/>
        <w:tblBorders>
          <w:top w:val="single" w:color="529286" w:sz="6"/>
          <w:left w:val="none" w:color="FFFFFF" w:sz="0"/>
          <w:bottom w:val="single" w:color="529286" w:sz="6"/>
          <w:right w:val="none" w:color="FFFFFF" w:sz="0"/>
          <w:insideH w:val="single" w:color="C8D4D0" w:sz="2"/>
          <w:insideV w:val="none" w:color="FFFFFF" w:sz="0"/>
        </w:tblBorders>
      </w:tblPr>
      <w:tblGrid>
        <w:gridCol w:w="2285"/>
        <w:gridCol w:w="3867"/>
        <w:gridCol w:w="2636"/>
      </w:tblGrid>
      <w:tr>
        <w:trPr>
          <w:cantSplit/>
          <w:tblHeader/>
        </w:trPr>
        <w:tc>
          <w:tcPr>
            <w:tcW w:type="pct" w:w="1300"/>
            <w:shd w:fill="529286" w:val="clear"/>
            <w:tcMar>
              <w:top w:type="dxa" w:w="70"/>
              <w:left w:type="dxa" w:w="100"/>
              <w:bottom w:type="dxa" w:w="70"/>
              <w:right w:type="dxa" w:w="100"/>
            </w:tcMar>
          </w:tcPr>
          <w:p>
            <w:pPr>
              <w:spacing w:line="260"/>
              <w:jc w:val="center"/>
            </w:pPr>
            <w:r>
              <w:rPr>
                <w:rFonts w:ascii="Times New Roman" w:eastAsia="SimHei"/>
                <w:b/>
                <w:bCs/>
                <w:color w:val="FFFFFF"/>
                <w:sz w:val="19"/>
                <w:szCs w:val="19"/>
              </w:rPr>
              <w:t xml:space="preserve">候选分析</w:t>
            </w:r>
          </w:p>
        </w:tc>
        <w:tc>
          <w:tcPr>
            <w:tcW w:type="pct" w:w="2200"/>
            <w:shd w:fill="529286" w:val="clear"/>
            <w:tcMar>
              <w:top w:type="dxa" w:w="70"/>
              <w:left w:type="dxa" w:w="100"/>
              <w:bottom w:type="dxa" w:w="70"/>
              <w:right w:type="dxa" w:w="100"/>
            </w:tcMar>
          </w:tcPr>
          <w:p>
            <w:pPr>
              <w:spacing w:line="260"/>
              <w:jc w:val="center"/>
            </w:pPr>
            <w:r>
              <w:rPr>
                <w:rFonts w:ascii="Times New Roman" w:eastAsia="SimHei"/>
                <w:b/>
                <w:bCs/>
                <w:color w:val="FFFFFF"/>
                <w:sz w:val="19"/>
                <w:szCs w:val="19"/>
              </w:rPr>
              <w:t xml:space="preserve">今日检验结果</w:t>
            </w:r>
          </w:p>
        </w:tc>
        <w:tc>
          <w:tcPr>
            <w:tcW w:type="pct" w:w="1500"/>
            <w:shd w:fill="529286" w:val="clear"/>
            <w:tcMar>
              <w:top w:type="dxa" w:w="70"/>
              <w:left w:type="dxa" w:w="100"/>
              <w:bottom w:type="dxa" w:w="70"/>
              <w:right w:type="dxa" w:w="100"/>
            </w:tcMar>
          </w:tcPr>
          <w:p>
            <w:pPr>
              <w:spacing w:line="260"/>
              <w:jc w:val="center"/>
            </w:pPr>
            <w:r>
              <w:rPr>
                <w:rFonts w:ascii="Times New Roman" w:eastAsia="SimHei"/>
                <w:b/>
                <w:bCs/>
                <w:color w:val="FFFFFF"/>
                <w:sz w:val="19"/>
                <w:szCs w:val="19"/>
              </w:rPr>
              <w:t xml:space="preserve">处置建议</w:t>
            </w:r>
          </w:p>
        </w:tc>
      </w:tr>
      <w:tr>
        <w:trPr>
          <w:cantSplit/>
        </w:trPr>
        <w:tc>
          <w:tcPr>
            <w:tcW w:type="pct" w:w="1300"/>
            <w:tcMar>
              <w:top w:type="dxa" w:w="70"/>
              <w:left w:type="dxa" w:w="100"/>
              <w:bottom w:type="dxa" w:w="70"/>
              <w:right w:type="dxa" w:w="100"/>
            </w:tcMar>
          </w:tcPr>
          <w:p>
            <w:pPr>
              <w:spacing w:line="264"/>
              <w:jc w:val="left"/>
            </w:pPr>
            <w:r>
              <w:rPr>
                <w:rFonts w:ascii="Times New Roman" w:eastAsia="SimSun"/>
                <w:b w:val="false"/>
                <w:bCs w:val="false"/>
                <w:color w:val="000000"/>
                <w:sz w:val="19"/>
                <w:szCs w:val="19"/>
              </w:rPr>
              <w:t xml:space="preserve">训练随机性是否改变方法排名</w:t>
            </w:r>
          </w:p>
        </w:tc>
        <w:tc>
          <w:tcPr>
            <w:tcW w:type="pct" w:w="2200"/>
            <w:tcMar>
              <w:top w:type="dxa" w:w="70"/>
              <w:left w:type="dxa" w:w="100"/>
              <w:bottom w:type="dxa" w:w="70"/>
              <w:right w:type="dxa" w:w="100"/>
            </w:tcMar>
          </w:tcPr>
          <w:p>
            <w:pPr>
              <w:spacing w:line="264"/>
              <w:jc w:val="left"/>
            </w:pPr>
            <w:r>
              <w:rPr>
                <w:rFonts w:ascii="Times New Roman" w:eastAsia="SimSun"/>
                <w:b w:val="false"/>
                <w:bCs w:val="false"/>
                <w:color w:val="000000"/>
                <w:sz w:val="19"/>
                <w:szCs w:val="19"/>
              </w:rPr>
              <w:t xml:space="preserve">五/六设置中 DeepEns 为 10/10 种子最优（CIFAR 9/10）；FMNIST 四设置成对方向 10/10 一致；翻转仅出现在已记录的两个近平局（MNIST 的 SWA-SG 3/10；CIFAR 的 DE-SN 1/10，异常种子）</w:t>
            </w:r>
          </w:p>
        </w:tc>
        <w:tc>
          <w:tcPr>
            <w:tcW w:type="pct" w:w="1500"/>
            <w:tcMar>
              <w:top w:type="dxa" w:w="70"/>
              <w:left w:type="dxa" w:w="100"/>
              <w:bottom w:type="dxa" w:w="70"/>
              <w:right w:type="dxa" w:w="100"/>
            </w:tcMar>
          </w:tcPr>
          <w:p>
            <w:pPr>
              <w:spacing w:line="264"/>
              <w:jc w:val="left"/>
            </w:pPr>
            <w:r>
              <w:rPr>
                <w:rFonts w:ascii="Times New Roman" w:eastAsia="SimSun"/>
                <w:b w:val="false"/>
                <w:bCs w:val="false"/>
                <w:color w:val="000000"/>
                <w:sz w:val="19"/>
                <w:szCs w:val="19"/>
              </w:rPr>
              <w:t xml:space="preserve">推荐入正文一小节：把均值结论升级为逐种子一致性证据（强）</w:t>
            </w:r>
          </w:p>
        </w:tc>
      </w:tr>
      <w:tr>
        <w:trPr>
          <w:cantSplit/>
        </w:trPr>
        <w:tc>
          <w:tcPr>
            <w:tcW w:type="pct" w:w="1300"/>
            <w:shd w:fill="F2F6F5" w:val="clear"/>
            <w:tcMar>
              <w:top w:type="dxa" w:w="70"/>
              <w:left w:type="dxa" w:w="100"/>
              <w:bottom w:type="dxa" w:w="70"/>
              <w:right w:type="dxa" w:w="100"/>
            </w:tcMar>
          </w:tcPr>
          <w:p>
            <w:pPr>
              <w:spacing w:line="264"/>
              <w:jc w:val="left"/>
            </w:pPr>
            <w:r>
              <w:rPr>
                <w:rFonts w:ascii="Times New Roman" w:eastAsia="SimSun"/>
                <w:b w:val="false"/>
                <w:bCs w:val="false"/>
                <w:color w:val="000000"/>
                <w:sz w:val="19"/>
                <w:szCs w:val="19"/>
              </w:rPr>
              <w:t xml:space="preserve">单模型训练时长的校准代价</w:t>
            </w:r>
          </w:p>
        </w:tc>
        <w:tc>
          <w:tcPr>
            <w:tcW w:type="pct" w:w="2200"/>
            <w:shd w:fill="F2F6F5" w:val="clear"/>
            <w:tcMar>
              <w:top w:type="dxa" w:w="70"/>
              <w:left w:type="dxa" w:w="100"/>
              <w:bottom w:type="dxa" w:w="70"/>
              <w:right w:type="dxa" w:w="100"/>
            </w:tcMar>
          </w:tcPr>
          <w:p>
            <w:pPr>
              <w:spacing w:line="264"/>
              <w:jc w:val="left"/>
            </w:pPr>
            <w:r>
              <w:rPr>
                <w:rFonts w:ascii="Times New Roman" w:eastAsia="SimSun"/>
                <w:b w:val="false"/>
                <w:bCs w:val="false"/>
                <w:color w:val="000000"/>
                <w:sz w:val="19"/>
                <w:szCs w:val="19"/>
              </w:rPr>
              <w:t xml:space="preserve">val-NLL 触底中位 epoch：FMNIST 12（7-14）对 MNIST 46（40-58）；FMNIST 终点 0.476</w:t>
            </w:r>
          </w:p>
        </w:tc>
        <w:tc>
          <w:tcPr>
            <w:tcW w:type="pct" w:w="1500"/>
            <w:shd w:fill="F2F6F5" w:val="clear"/>
            <w:tcMar>
              <w:top w:type="dxa" w:w="70"/>
              <w:left w:type="dxa" w:w="100"/>
              <w:bottom w:type="dxa" w:w="70"/>
              <w:right w:type="dxa" w:w="100"/>
            </w:tcMar>
          </w:tcPr>
          <w:p>
            <w:pPr>
              <w:spacing w:line="264"/>
              <w:jc w:val="left"/>
            </w:pPr>
            <w:r>
              <w:rPr>
                <w:rFonts w:ascii="Times New Roman" w:eastAsia="SimSun"/>
                <w:b w:val="false"/>
                <w:bCs w:val="false"/>
                <w:color w:val="000000"/>
                <w:sz w:val="19"/>
                <w:szCs w:val="19"/>
              </w:rPr>
              <w:t xml:space="preserve">推荐入正文：预算放大规律的机制图（数据已在 histories）</w:t>
            </w:r>
          </w:p>
        </w:tc>
      </w:tr>
      <w:tr>
        <w:trPr>
          <w:cantSplit/>
        </w:trPr>
        <w:tc>
          <w:tcPr>
            <w:tcW w:type="pct" w:w="1300"/>
            <w:tcMar>
              <w:top w:type="dxa" w:w="70"/>
              <w:left w:type="dxa" w:w="100"/>
              <w:bottom w:type="dxa" w:w="70"/>
              <w:right w:type="dxa" w:w="100"/>
            </w:tcMar>
          </w:tcPr>
          <w:p>
            <w:pPr>
              <w:spacing w:line="264"/>
              <w:jc w:val="left"/>
            </w:pPr>
            <w:r>
              <w:rPr>
                <w:rFonts w:ascii="Times New Roman" w:eastAsia="SimSun"/>
                <w:b w:val="false"/>
                <w:bCs w:val="false"/>
                <w:color w:val="000000"/>
                <w:sz w:val="19"/>
                <w:szCs w:val="19"/>
              </w:rPr>
              <w:t xml:space="preserve">校准改善与 OOD 改善是否耦合</w:t>
            </w:r>
          </w:p>
        </w:tc>
        <w:tc>
          <w:tcPr>
            <w:tcW w:type="pct" w:w="2200"/>
            <w:tcMar>
              <w:top w:type="dxa" w:w="70"/>
              <w:left w:type="dxa" w:w="100"/>
              <w:bottom w:type="dxa" w:w="70"/>
              <w:right w:type="dxa" w:w="100"/>
            </w:tcMar>
          </w:tcPr>
          <w:p>
            <w:pPr>
              <w:spacing w:line="264"/>
              <w:jc w:val="left"/>
            </w:pPr>
            <w:r>
              <w:rPr>
                <w:rFonts w:ascii="Times New Roman" w:eastAsia="SimSun"/>
                <w:b w:val="false"/>
                <w:bCs w:val="false"/>
                <w:color w:val="000000"/>
                <w:sz w:val="19"/>
                <w:szCs w:val="19"/>
              </w:rPr>
              <w:t xml:space="preserve">九个设置-探针内 rho(dECE,dAUROC) 从 -0.73 到 +0.52 方向不一；跨设置混杂主导</w:t>
            </w:r>
          </w:p>
        </w:tc>
        <w:tc>
          <w:tcPr>
            <w:tcW w:type="pct" w:w="1500"/>
            <w:tcMar>
              <w:top w:type="dxa" w:w="70"/>
              <w:left w:type="dxa" w:w="100"/>
              <w:bottom w:type="dxa" w:w="70"/>
              <w:right w:type="dxa" w:w="100"/>
            </w:tcMar>
          </w:tcPr>
          <w:p>
            <w:pPr>
              <w:spacing w:line="264"/>
              <w:jc w:val="left"/>
            </w:pPr>
            <w:r>
              <w:rPr>
                <w:rFonts w:ascii="Times New Roman" w:eastAsia="SimSun"/>
                <w:b w:val="false"/>
                <w:bCs w:val="false"/>
                <w:color w:val="000000"/>
                <w:sz w:val="19"/>
                <w:szCs w:val="19"/>
              </w:rPr>
              <w:t xml:space="preserve">不推荐作为主张（负结果）；一句话写入讨论即可</w:t>
            </w:r>
          </w:p>
        </w:tc>
      </w:tr>
      <w:tr>
        <w:trPr>
          <w:cantSplit/>
        </w:trPr>
        <w:tc>
          <w:tcPr>
            <w:tcW w:type="pct" w:w="1300"/>
            <w:shd w:fill="F2F6F5" w:val="clear"/>
            <w:tcMar>
              <w:top w:type="dxa" w:w="70"/>
              <w:left w:type="dxa" w:w="100"/>
              <w:bottom w:type="dxa" w:w="70"/>
              <w:right w:type="dxa" w:w="100"/>
            </w:tcMar>
          </w:tcPr>
          <w:p>
            <w:pPr>
              <w:spacing w:line="264"/>
              <w:jc w:val="left"/>
            </w:pPr>
            <w:r>
              <w:rPr>
                <w:rFonts w:ascii="Times New Roman" w:eastAsia="SimSun"/>
                <w:b w:val="false"/>
                <w:bCs w:val="false"/>
                <w:color w:val="000000"/>
                <w:sz w:val="19"/>
                <w:szCs w:val="19"/>
              </w:rPr>
              <w:t xml:space="preserve">成员质量/多样性种子级规律</w:t>
            </w:r>
          </w:p>
        </w:tc>
        <w:tc>
          <w:tcPr>
            <w:tcW w:type="pct" w:w="2200"/>
            <w:shd w:fill="F2F6F5" w:val="clear"/>
            <w:tcMar>
              <w:top w:type="dxa" w:w="70"/>
              <w:left w:type="dxa" w:w="100"/>
              <w:bottom w:type="dxa" w:w="70"/>
              <w:right w:type="dxa" w:w="100"/>
            </w:tcMar>
          </w:tcPr>
          <w:p>
            <w:pPr>
              <w:spacing w:line="264"/>
              <w:jc w:val="left"/>
            </w:pPr>
            <w:r>
              <w:rPr>
                <w:rFonts w:ascii="Times New Roman" w:eastAsia="SimSun"/>
                <w:b w:val="false"/>
                <w:bCs w:val="false"/>
                <w:color w:val="000000"/>
                <w:sz w:val="19"/>
                <w:szCs w:val="19"/>
              </w:rPr>
              <w:t xml:space="preserve">组内 rho 在 -0.77 至 +0.77 间不稳定</w:t>
            </w:r>
          </w:p>
        </w:tc>
        <w:tc>
          <w:tcPr>
            <w:tcW w:type="pct" w:w="1500"/>
            <w:shd w:fill="F2F6F5" w:val="clear"/>
            <w:tcMar>
              <w:top w:type="dxa" w:w="70"/>
              <w:left w:type="dxa" w:w="100"/>
              <w:bottom w:type="dxa" w:w="70"/>
              <w:right w:type="dxa" w:w="100"/>
            </w:tcMar>
          </w:tcPr>
          <w:p>
            <w:pPr>
              <w:spacing w:line="264"/>
              <w:jc w:val="left"/>
            </w:pPr>
            <w:r>
              <w:rPr>
                <w:rFonts w:ascii="Times New Roman" w:eastAsia="SimSun"/>
                <w:b w:val="false"/>
                <w:bCs w:val="false"/>
                <w:color w:val="000000"/>
                <w:sz w:val="19"/>
                <w:szCs w:val="19"/>
              </w:rPr>
              <w:t xml:space="preserve">维持关联性措辞；不作主张</w:t>
            </w:r>
          </w:p>
        </w:tc>
      </w:tr>
      <w:tr>
        <w:trPr>
          <w:cantSplit/>
        </w:trPr>
        <w:tc>
          <w:tcPr>
            <w:tcW w:type="pct" w:w="1300"/>
            <w:tcMar>
              <w:top w:type="dxa" w:w="70"/>
              <w:left w:type="dxa" w:w="100"/>
              <w:bottom w:type="dxa" w:w="70"/>
              <w:right w:type="dxa" w:w="100"/>
            </w:tcMar>
          </w:tcPr>
          <w:p>
            <w:pPr>
              <w:spacing w:line="264"/>
              <w:jc w:val="left"/>
            </w:pPr>
            <w:r>
              <w:rPr>
                <w:rFonts w:ascii="Times New Roman" w:eastAsia="SimSun"/>
                <w:b w:val="false"/>
                <w:bCs w:val="false"/>
                <w:color w:val="000000"/>
                <w:sz w:val="19"/>
                <w:szCs w:val="19"/>
              </w:rPr>
              <w:t xml:space="preserve">预算-推理成本权衡叙事</w:t>
            </w:r>
          </w:p>
        </w:tc>
        <w:tc>
          <w:tcPr>
            <w:tcW w:type="pct" w:w="2200"/>
            <w:tcMar>
              <w:top w:type="dxa" w:w="70"/>
              <w:left w:type="dxa" w:w="100"/>
              <w:bottom w:type="dxa" w:w="70"/>
              <w:right w:type="dxa" w:w="100"/>
            </w:tcMar>
          </w:tcPr>
          <w:p>
            <w:pPr>
              <w:spacing w:line="264"/>
              <w:jc w:val="left"/>
            </w:pPr>
            <w:r>
              <w:rPr>
                <w:rFonts w:ascii="Times New Roman" w:eastAsia="SimSun"/>
                <w:b w:val="false"/>
                <w:bCs w:val="false"/>
                <w:color w:val="000000"/>
                <w:sz w:val="19"/>
                <w:szCs w:val="19"/>
              </w:rPr>
              <w:t xml:space="preserve">k=3/5 两点 + B 三点已能画出雏形</w:t>
            </w:r>
          </w:p>
        </w:tc>
        <w:tc>
          <w:tcPr>
            <w:tcW w:type="pct" w:w="1500"/>
            <w:tcMar>
              <w:top w:type="dxa" w:w="70"/>
              <w:left w:type="dxa" w:w="100"/>
              <w:bottom w:type="dxa" w:w="70"/>
              <w:right w:type="dxa" w:w="100"/>
            </w:tcMar>
          </w:tcPr>
          <w:p>
            <w:pPr>
              <w:spacing w:line="264"/>
              <w:jc w:val="left"/>
            </w:pPr>
            <w:r>
              <w:rPr>
                <w:rFonts w:ascii="Times New Roman" w:eastAsia="SimSun"/>
                <w:b w:val="false"/>
                <w:bCs w:val="false"/>
                <w:color w:val="000000"/>
                <w:sz w:val="19"/>
                <w:szCs w:val="19"/>
              </w:rPr>
              <w:t xml:space="preserve">作为方案 B 的引子段落，待 k 扫描补全</w:t>
            </w:r>
          </w:p>
        </w:tc>
      </w:tr>
    </w:tbl>
    <w:p>
      <w:pPr>
        <w:pStyle w:val="Heading2"/>
        <w:spacing w:after="120" w:before="260" w:line="350" w:lineRule="atLeast"/>
      </w:pPr>
      <w:bookmarkStart w:name="_Toc26" w:id="26"/>
      <w:r>
        <w:rPr>
          <w:rFonts w:ascii="Times New Roman" w:eastAsia="SimHei"/>
          <w:b/>
          <w:bCs/>
          <w:color w:val="0B1C2C"/>
          <w:sz w:val="28"/>
          <w:szCs w:val="28"/>
        </w:rPr>
        <w:t xml:space="preserve">6.2 必须新增的实验（仅方案 B 所列）</w:t>
      </w:r>
      <w:bookmarkEnd w:id="26"/>
    </w:p>
    <w:p>
      <w:pPr>
        <w:keepNext w:val="false"/>
        <w:spacing w:after="80" w:line="312"/>
        <w:ind w:firstLine="480"/>
        <w:jc w:val="both"/>
      </w:pPr>
      <w:r>
        <w:rPr>
          <w:rFonts w:ascii="Times New Roman" w:eastAsia="SimSun"/>
          <w:b w:val="false"/>
          <w:bCs w:val="false"/>
          <w:color w:val="000000"/>
          <w:sz w:val="24"/>
          <w:szCs w:val="24"/>
        </w:rPr>
        <w:t xml:space="preserve">必须做的只有 k x B 扫描的 12 个新配置（表 5-1 步骤 3），全部 CPU 可完成，无任何新基础设施。判断为必须的依据：k*(B) 是规律主张的最小证据集，且现有 k=3/5 两点无法分解成员质量与多样性两个反向机制（k5 成员更优 0.321 对 0.338 但多样性更低 0.0101 对 0.0150）。</w:t>
      </w:r>
    </w:p>
    <w:p>
      <w:pPr>
        <w:pStyle w:val="Heading2"/>
        <w:spacing w:after="120" w:before="260" w:line="350" w:lineRule="atLeast"/>
      </w:pPr>
      <w:bookmarkStart w:name="_Toc27" w:id="27"/>
      <w:r>
        <w:rPr>
          <w:rFonts w:ascii="Times New Roman" w:eastAsia="SimHei"/>
          <w:b/>
          <w:bCs/>
          <w:color w:val="0B1C2C"/>
          <w:sz w:val="28"/>
          <w:szCs w:val="28"/>
        </w:rPr>
        <w:t xml:space="preserve">6.3 可选强化（作者资源决定，非必需）</w:t>
      </w:r>
      <w:bookmarkEnd w:id="27"/>
    </w:p>
    <w:p>
      <w:pPr>
        <w:keepNext w:val="false"/>
        <w:spacing w:after="80" w:line="312"/>
        <w:ind w:firstLine="480"/>
        <w:jc w:val="both"/>
      </w:pPr>
      <w:r>
        <w:rPr>
          <w:rFonts w:ascii="Times New Roman" w:eastAsia="SimSun"/>
          <w:b w:val="false"/>
          <w:bCs w:val="false"/>
          <w:color w:val="000000"/>
          <w:sz w:val="24"/>
          <w:szCs w:val="24"/>
        </w:rPr>
        <w:t xml:space="preserve">唯一值得考虑的可选强化是把 CIFAR 侧从 k=2/5 的 10 种子扩到一个中等规模基准（如 WRN-16-4 于 CIFAR-100，2 x 10 种子，需 GPU 约两天）：它直接回应可推广性折扣，但会改变论文的规模叙事与时间线，故列为作者决策项而非默认项。</w:t>
      </w:r>
    </w:p>
    <w:p>
      <w:pPr>
        <w:pStyle w:val="Heading2"/>
        <w:spacing w:after="120" w:before="260" w:line="350" w:lineRule="atLeast"/>
      </w:pPr>
      <w:bookmarkStart w:name="_Toc28" w:id="28"/>
      <w:r>
        <w:rPr>
          <w:rFonts w:ascii="Times New Roman" w:eastAsia="SimHei"/>
          <w:b/>
          <w:bCs/>
          <w:color w:val="0B1C2C"/>
          <w:sz w:val="28"/>
          <w:szCs w:val="28"/>
        </w:rPr>
        <w:t xml:space="preserve">6.4 明确不再做的实验</w:t>
      </w:r>
      <w:bookmarkEnd w:id="28"/>
    </w:p>
    <w:p>
      <w:pPr>
        <w:keepNext w:val="false"/>
        <w:spacing w:after="80" w:line="312"/>
        <w:ind w:firstLine="480"/>
        <w:jc w:val="both"/>
      </w:pPr>
      <w:r>
        <w:rPr>
          <w:rFonts w:ascii="Times New Roman" w:eastAsia="SimSun"/>
          <w:b w:val="false"/>
          <w:bCs w:val="false"/>
          <w:color w:val="000000"/>
          <w:sz w:val="24"/>
          <w:szCs w:val="24"/>
        </w:rPr>
        <w:t xml:space="preserve">以下各项被明确排除，理由是它们不改变原创性判断而只增加体量：新增第四个灰度或更多自然图像数据集；把种子数从 10 提到 30（除非某个关键对比的置信区间需要且预注册批准）；批量归一化统计复现实验；CIFAR-10-C 式扰动套件；新增 OOD 探针；任何以寻找显著结果为目的的事后扫描——探索性分析与确认性分析的边界已在预注册文档与本文中固定，新增分析一律标注性质。</w:t>
      </w:r>
    </w:p>
    <w:p>
      <w:pPr>
        <w:pStyle w:val="Heading1"/>
        <w:spacing w:after="160" w:before="360" w:line="380" w:lineRule="atLeast"/>
      </w:pPr>
      <w:bookmarkStart w:name="_Toc29" w:id="29"/>
      <w:r>
        <w:rPr>
          <w:rFonts w:ascii="Times New Roman" w:eastAsia="SimHei"/>
          <w:b/>
          <w:bCs/>
          <w:color w:val="0B1C2C"/>
          <w:sz w:val="32"/>
          <w:szCs w:val="32"/>
        </w:rPr>
        <w:t xml:space="preserve">第七章 停止规则</w:t>
      </w:r>
      <w:bookmarkEnd w:id="29"/>
    </w:p>
    <w:p>
      <w:pPr>
        <w:keepNext w:val="false"/>
        <w:spacing w:after="80" w:line="312"/>
        <w:ind w:firstLine="480"/>
        <w:jc w:val="both"/>
      </w:pPr>
      <w:r>
        <w:rPr>
          <w:rFonts w:ascii="Times New Roman" w:eastAsia="SimSun"/>
          <w:b w:val="false"/>
          <w:bCs w:val="false"/>
          <w:color w:val="000000"/>
          <w:sz w:val="24"/>
          <w:szCs w:val="24"/>
        </w:rPr>
        <w:t xml:space="preserve">为避免无止境的加法，本章给出可判定的停止条件。核心原则：继续的依据是规律的证据质量，不是已有投入。</w:t>
      </w:r>
    </w:p>
    <w:p>
      <w:pPr>
        <w:keepNext/>
        <w:spacing w:after="100" w:before="160" w:line="280"/>
        <w:jc w:val="center"/>
      </w:pPr>
      <w:r>
        <w:rPr>
          <w:rFonts w:ascii="Times New Roman" w:eastAsia="SimHei"/>
          <w:b/>
          <w:bCs/>
          <w:color w:val="404040"/>
          <w:sz w:val="21"/>
          <w:szCs w:val="21"/>
        </w:rPr>
        <w:t xml:space="preserve">表 7-1 停止与继续的判定标准</w:t>
      </w:r>
    </w:p>
    <w:tbl>
      <w:tblPr>
        <w:tblW w:type="pct" w:w="5000"/>
        <w:tblBorders>
          <w:top w:val="single" w:color="529286" w:sz="6"/>
          <w:left w:val="none" w:color="FFFFFF" w:sz="0"/>
          <w:bottom w:val="single" w:color="529286" w:sz="6"/>
          <w:right w:val="none" w:color="FFFFFF" w:sz="0"/>
          <w:insideH w:val="single" w:color="C8D4D0" w:sz="2"/>
          <w:insideV w:val="none" w:color="FFFFFF" w:sz="0"/>
        </w:tblBorders>
      </w:tblPr>
      <w:tblGrid>
        <w:gridCol w:w="3515"/>
        <w:gridCol w:w="1055"/>
        <w:gridCol w:w="4218"/>
      </w:tblGrid>
      <w:tr>
        <w:trPr>
          <w:cantSplit/>
          <w:tblHeader/>
        </w:trPr>
        <w:tc>
          <w:tcPr>
            <w:tcW w:type="pct" w:w="2000"/>
            <w:shd w:fill="529286" w:val="clear"/>
            <w:tcMar>
              <w:top w:type="dxa" w:w="70"/>
              <w:left w:type="dxa" w:w="100"/>
              <w:bottom w:type="dxa" w:w="70"/>
              <w:right w:type="dxa" w:w="100"/>
            </w:tcMar>
          </w:tcPr>
          <w:p>
            <w:pPr>
              <w:spacing w:line="260"/>
              <w:jc w:val="center"/>
            </w:pPr>
            <w:r>
              <w:rPr>
                <w:rFonts w:ascii="Times New Roman" w:eastAsia="SimHei"/>
                <w:b/>
                <w:bCs/>
                <w:color w:val="FFFFFF"/>
                <w:sz w:val="19"/>
                <w:szCs w:val="19"/>
              </w:rPr>
              <w:t xml:space="preserve">情形</w:t>
            </w:r>
          </w:p>
        </w:tc>
        <w:tc>
          <w:tcPr>
            <w:tcW w:type="pct" w:w="600"/>
            <w:shd w:fill="529286" w:val="clear"/>
            <w:tcMar>
              <w:top w:type="dxa" w:w="70"/>
              <w:left w:type="dxa" w:w="100"/>
              <w:bottom w:type="dxa" w:w="70"/>
              <w:right w:type="dxa" w:w="100"/>
            </w:tcMar>
          </w:tcPr>
          <w:p>
            <w:pPr>
              <w:spacing w:line="260"/>
              <w:jc w:val="center"/>
            </w:pPr>
            <w:r>
              <w:rPr>
                <w:rFonts w:ascii="Times New Roman" w:eastAsia="SimHei"/>
                <w:b/>
                <w:bCs/>
                <w:color w:val="FFFFFF"/>
                <w:sz w:val="19"/>
                <w:szCs w:val="19"/>
              </w:rPr>
              <w:t xml:space="preserve">判定</w:t>
            </w:r>
          </w:p>
        </w:tc>
        <w:tc>
          <w:tcPr>
            <w:tcW w:type="pct" w:w="2400"/>
            <w:shd w:fill="529286" w:val="clear"/>
            <w:tcMar>
              <w:top w:type="dxa" w:w="70"/>
              <w:left w:type="dxa" w:w="100"/>
              <w:bottom w:type="dxa" w:w="70"/>
              <w:right w:type="dxa" w:w="100"/>
            </w:tcMar>
          </w:tcPr>
          <w:p>
            <w:pPr>
              <w:spacing w:line="260"/>
              <w:jc w:val="center"/>
            </w:pPr>
            <w:r>
              <w:rPr>
                <w:rFonts w:ascii="Times New Roman" w:eastAsia="SimHei"/>
                <w:b/>
                <w:bCs/>
                <w:color w:val="FFFFFF"/>
                <w:sz w:val="19"/>
                <w:szCs w:val="19"/>
              </w:rPr>
              <w:t xml:space="preserve">动作</w:t>
            </w:r>
          </w:p>
        </w:tc>
      </w:tr>
      <w:tr>
        <w:trPr>
          <w:cantSplit/>
        </w:trPr>
        <w:tc>
          <w:tcPr>
            <w:tcW w:type="pct" w:w="2000"/>
            <w:tcMar>
              <w:top w:type="dxa" w:w="70"/>
              <w:left w:type="dxa" w:w="100"/>
              <w:bottom w:type="dxa" w:w="70"/>
              <w:right w:type="dxa" w:w="100"/>
            </w:tcMar>
          </w:tcPr>
          <w:p>
            <w:pPr>
              <w:spacing w:line="264"/>
              <w:jc w:val="left"/>
            </w:pPr>
            <w:r>
              <w:rPr>
                <w:rFonts w:ascii="Times New Roman" w:eastAsia="SimSun"/>
                <w:b w:val="false"/>
                <w:bCs w:val="false"/>
                <w:color w:val="000000"/>
                <w:sz w:val="19"/>
                <w:szCs w:val="19"/>
              </w:rPr>
              <w:t xml:space="preserve">方案 B 的 k*(B) 规律成立（趋势检验显著且方向一致）</w:t>
            </w:r>
          </w:p>
        </w:tc>
        <w:tc>
          <w:tcPr>
            <w:tcW w:type="pct" w:w="600"/>
            <w:tcMar>
              <w:top w:type="dxa" w:w="70"/>
              <w:left w:type="dxa" w:w="100"/>
              <w:bottom w:type="dxa" w:w="70"/>
              <w:right w:type="dxa" w:w="100"/>
            </w:tcMar>
          </w:tcPr>
          <w:p>
            <w:pPr>
              <w:spacing w:line="264"/>
              <w:jc w:val="left"/>
            </w:pPr>
            <w:r>
              <w:rPr>
                <w:rFonts w:ascii="Times New Roman" w:eastAsia="SimSun"/>
                <w:b w:val="false"/>
                <w:bCs w:val="false"/>
                <w:color w:val="000000"/>
                <w:sz w:val="19"/>
                <w:szCs w:val="19"/>
              </w:rPr>
              <w:t xml:space="preserve">继续</w:t>
            </w:r>
          </w:p>
        </w:tc>
        <w:tc>
          <w:tcPr>
            <w:tcW w:type="pct" w:w="2400"/>
            <w:tcMar>
              <w:top w:type="dxa" w:w="70"/>
              <w:left w:type="dxa" w:w="100"/>
              <w:bottom w:type="dxa" w:w="70"/>
              <w:right w:type="dxa" w:w="100"/>
            </w:tcMar>
          </w:tcPr>
          <w:p>
            <w:pPr>
              <w:spacing w:line="264"/>
              <w:jc w:val="left"/>
            </w:pPr>
            <w:r>
              <w:rPr>
                <w:rFonts w:ascii="Times New Roman" w:eastAsia="SimSun"/>
                <w:b w:val="false"/>
                <w:bCs w:val="false"/>
                <w:color w:val="000000"/>
                <w:sz w:val="19"/>
                <w:szCs w:val="19"/>
              </w:rPr>
              <w:t xml:space="preserve">完成 v5 论文，投 TMLR 或 Machine Learning；考虑规模化可选强化</w:t>
            </w:r>
          </w:p>
        </w:tc>
      </w:tr>
      <w:tr>
        <w:trPr>
          <w:cantSplit/>
        </w:trPr>
        <w:tc>
          <w:tcPr>
            <w:tcW w:type="pct" w:w="2000"/>
            <w:shd w:fill="F2F6F5" w:val="clear"/>
            <w:tcMar>
              <w:top w:type="dxa" w:w="70"/>
              <w:left w:type="dxa" w:w="100"/>
              <w:bottom w:type="dxa" w:w="70"/>
              <w:right w:type="dxa" w:w="100"/>
            </w:tcMar>
          </w:tcPr>
          <w:p>
            <w:pPr>
              <w:spacing w:line="264"/>
              <w:jc w:val="left"/>
            </w:pPr>
            <w:r>
              <w:rPr>
                <w:rFonts w:ascii="Times New Roman" w:eastAsia="SimSun"/>
                <w:b w:val="false"/>
                <w:bCs w:val="false"/>
                <w:color w:val="000000"/>
                <w:sz w:val="19"/>
                <w:szCs w:val="19"/>
              </w:rPr>
              <w:t xml:space="preserve">NLL(k) 平坦（任何 k&gt;=2 无显著差）</w:t>
            </w:r>
          </w:p>
        </w:tc>
        <w:tc>
          <w:tcPr>
            <w:tcW w:type="pct" w:w="600"/>
            <w:shd w:fill="F2F6F5" w:val="clear"/>
            <w:tcMar>
              <w:top w:type="dxa" w:w="70"/>
              <w:left w:type="dxa" w:w="100"/>
              <w:bottom w:type="dxa" w:w="70"/>
              <w:right w:type="dxa" w:w="100"/>
            </w:tcMar>
          </w:tcPr>
          <w:p>
            <w:pPr>
              <w:spacing w:line="264"/>
              <w:jc w:val="left"/>
            </w:pPr>
            <w:r>
              <w:rPr>
                <w:rFonts w:ascii="Times New Roman" w:eastAsia="SimSun"/>
                <w:b w:val="false"/>
                <w:bCs w:val="false"/>
                <w:color w:val="000000"/>
                <w:sz w:val="19"/>
                <w:szCs w:val="19"/>
              </w:rPr>
              <w:t xml:space="preserve">弱继续</w:t>
            </w:r>
          </w:p>
        </w:tc>
        <w:tc>
          <w:tcPr>
            <w:tcW w:type="pct" w:w="2400"/>
            <w:shd w:fill="F2F6F5" w:val="clear"/>
            <w:tcMar>
              <w:top w:type="dxa" w:w="70"/>
              <w:left w:type="dxa" w:w="100"/>
              <w:bottom w:type="dxa" w:w="70"/>
              <w:right w:type="dxa" w:w="100"/>
            </w:tcMar>
          </w:tcPr>
          <w:p>
            <w:pPr>
              <w:spacing w:line="264"/>
              <w:jc w:val="left"/>
            </w:pPr>
            <w:r>
              <w:rPr>
                <w:rFonts w:ascii="Times New Roman" w:eastAsia="SimSun"/>
                <w:b w:val="false"/>
                <w:bCs w:val="false"/>
                <w:color w:val="000000"/>
                <w:sz w:val="19"/>
                <w:szCs w:val="19"/>
              </w:rPr>
              <w:t xml:space="preserve">以决策规则（k=2 或 3 已足 + 推理成本）完成论文，投实证类期刊；不再追加实验</w:t>
            </w:r>
          </w:p>
        </w:tc>
      </w:tr>
      <w:tr>
        <w:trPr>
          <w:cantSplit/>
        </w:trPr>
        <w:tc>
          <w:tcPr>
            <w:tcW w:type="pct" w:w="2000"/>
            <w:tcMar>
              <w:top w:type="dxa" w:w="70"/>
              <w:left w:type="dxa" w:w="100"/>
              <w:bottom w:type="dxa" w:w="70"/>
              <w:right w:type="dxa" w:w="100"/>
            </w:tcMar>
          </w:tcPr>
          <w:p>
            <w:pPr>
              <w:spacing w:line="264"/>
              <w:jc w:val="left"/>
            </w:pPr>
            <w:r>
              <w:rPr>
                <w:rFonts w:ascii="Times New Roman" w:eastAsia="SimSun"/>
                <w:b w:val="false"/>
                <w:bCs w:val="false"/>
                <w:color w:val="000000"/>
                <w:sz w:val="19"/>
                <w:szCs w:val="19"/>
              </w:rPr>
              <w:t xml:space="preserve">k*(B) 规律被新检索发现已有等价先例</w:t>
            </w:r>
          </w:p>
        </w:tc>
        <w:tc>
          <w:tcPr>
            <w:tcW w:type="pct" w:w="600"/>
            <w:tcMar>
              <w:top w:type="dxa" w:w="70"/>
              <w:left w:type="dxa" w:w="100"/>
              <w:bottom w:type="dxa" w:w="70"/>
              <w:right w:type="dxa" w:w="100"/>
            </w:tcMar>
          </w:tcPr>
          <w:p>
            <w:pPr>
              <w:spacing w:line="264"/>
              <w:jc w:val="left"/>
            </w:pPr>
            <w:r>
              <w:rPr>
                <w:rFonts w:ascii="Times New Roman" w:eastAsia="SimSun"/>
                <w:b w:val="false"/>
                <w:bCs w:val="false"/>
                <w:color w:val="000000"/>
                <w:sz w:val="19"/>
                <w:szCs w:val="19"/>
              </w:rPr>
              <w:t xml:space="preserve">停止发展</w:t>
            </w:r>
          </w:p>
        </w:tc>
        <w:tc>
          <w:tcPr>
            <w:tcW w:type="pct" w:w="2400"/>
            <w:tcMar>
              <w:top w:type="dxa" w:w="70"/>
              <w:left w:type="dxa" w:w="100"/>
              <w:bottom w:type="dxa" w:w="70"/>
              <w:right w:type="dxa" w:w="100"/>
            </w:tcMar>
          </w:tcPr>
          <w:p>
            <w:pPr>
              <w:spacing w:line="264"/>
              <w:jc w:val="left"/>
            </w:pPr>
            <w:r>
              <w:rPr>
                <w:rFonts w:ascii="Times New Roman" w:eastAsia="SimSun"/>
                <w:b w:val="false"/>
                <w:bCs w:val="false"/>
                <w:color w:val="000000"/>
                <w:sz w:val="19"/>
                <w:szCs w:val="19"/>
              </w:rPr>
              <w:t xml:space="preserve">回退方案 A：重定位为受控实证研究，投 TMLR；不再投入新实验</w:t>
            </w:r>
          </w:p>
        </w:tc>
      </w:tr>
      <w:tr>
        <w:trPr>
          <w:cantSplit/>
        </w:trPr>
        <w:tc>
          <w:tcPr>
            <w:tcW w:type="pct" w:w="2000"/>
            <w:shd w:fill="F2F6F5" w:val="clear"/>
            <w:tcMar>
              <w:top w:type="dxa" w:w="70"/>
              <w:left w:type="dxa" w:w="100"/>
              <w:bottom w:type="dxa" w:w="70"/>
              <w:right w:type="dxa" w:w="100"/>
            </w:tcMar>
          </w:tcPr>
          <w:p>
            <w:pPr>
              <w:spacing w:line="264"/>
              <w:jc w:val="left"/>
            </w:pPr>
            <w:r>
              <w:rPr>
                <w:rFonts w:ascii="Times New Roman" w:eastAsia="SimSun"/>
                <w:b w:val="false"/>
                <w:bCs w:val="false"/>
                <w:color w:val="000000"/>
                <w:sz w:val="19"/>
                <w:szCs w:val="19"/>
              </w:rPr>
              <w:t xml:space="preserve">两轮投稿（不同期刊）均以原创性被拒且审稿人未给出具体可行扩展</w:t>
            </w:r>
          </w:p>
        </w:tc>
        <w:tc>
          <w:tcPr>
            <w:tcW w:type="pct" w:w="600"/>
            <w:shd w:fill="F2F6F5" w:val="clear"/>
            <w:tcMar>
              <w:top w:type="dxa" w:w="70"/>
              <w:left w:type="dxa" w:w="100"/>
              <w:bottom w:type="dxa" w:w="70"/>
              <w:right w:type="dxa" w:w="100"/>
            </w:tcMar>
          </w:tcPr>
          <w:p>
            <w:pPr>
              <w:spacing w:line="264"/>
              <w:jc w:val="left"/>
            </w:pPr>
            <w:r>
              <w:rPr>
                <w:rFonts w:ascii="Times New Roman" w:eastAsia="SimSun"/>
                <w:b w:val="false"/>
                <w:bCs w:val="false"/>
                <w:color w:val="000000"/>
                <w:sz w:val="19"/>
                <w:szCs w:val="19"/>
              </w:rPr>
              <w:t xml:space="preserve">停止投稿迭代</w:t>
            </w:r>
          </w:p>
        </w:tc>
        <w:tc>
          <w:tcPr>
            <w:tcW w:type="pct" w:w="2400"/>
            <w:shd w:fill="F2F6F5" w:val="clear"/>
            <w:tcMar>
              <w:top w:type="dxa" w:w="70"/>
              <w:left w:type="dxa" w:w="100"/>
              <w:bottom w:type="dxa" w:w="70"/>
              <w:right w:type="dxa" w:w="100"/>
            </w:tcMar>
          </w:tcPr>
          <w:p>
            <w:pPr>
              <w:spacing w:line="264"/>
              <w:jc w:val="left"/>
            </w:pPr>
            <w:r>
              <w:rPr>
                <w:rFonts w:ascii="Times New Roman" w:eastAsia="SimSun"/>
                <w:b w:val="false"/>
                <w:bCs w:val="false"/>
                <w:color w:val="000000"/>
                <w:sz w:val="19"/>
                <w:szCs w:val="19"/>
              </w:rPr>
              <w:t xml:space="preserve">以 TMLR 为终点通道（一次机会），或归档为预印本；转向新项目</w:t>
            </w:r>
          </w:p>
        </w:tc>
      </w:tr>
      <w:tr>
        <w:trPr>
          <w:cantSplit/>
        </w:trPr>
        <w:tc>
          <w:tcPr>
            <w:tcW w:type="pct" w:w="2000"/>
            <w:tcMar>
              <w:top w:type="dxa" w:w="70"/>
              <w:left w:type="dxa" w:w="100"/>
              <w:bottom w:type="dxa" w:w="70"/>
              <w:right w:type="dxa" w:w="100"/>
            </w:tcMar>
          </w:tcPr>
          <w:p>
            <w:pPr>
              <w:spacing w:line="264"/>
              <w:jc w:val="left"/>
            </w:pPr>
            <w:r>
              <w:rPr>
                <w:rFonts w:ascii="Times New Roman" w:eastAsia="SimSun"/>
                <w:b w:val="false"/>
                <w:bCs w:val="false"/>
                <w:color w:val="000000"/>
                <w:sz w:val="19"/>
                <w:szCs w:val="19"/>
              </w:rPr>
              <w:t xml:space="preserve">审稿人点名要求规模化验证</w:t>
            </w:r>
          </w:p>
        </w:tc>
        <w:tc>
          <w:tcPr>
            <w:tcW w:type="pct" w:w="600"/>
            <w:tcMar>
              <w:top w:type="dxa" w:w="70"/>
              <w:left w:type="dxa" w:w="100"/>
              <w:bottom w:type="dxa" w:w="70"/>
              <w:right w:type="dxa" w:w="100"/>
            </w:tcMar>
          </w:tcPr>
          <w:p>
            <w:pPr>
              <w:spacing w:line="264"/>
              <w:jc w:val="left"/>
            </w:pPr>
            <w:r>
              <w:rPr>
                <w:rFonts w:ascii="Times New Roman" w:eastAsia="SimSun"/>
                <w:b w:val="false"/>
                <w:bCs w:val="false"/>
                <w:color w:val="000000"/>
                <w:sz w:val="19"/>
                <w:szCs w:val="19"/>
              </w:rPr>
              <w:t xml:space="preserve">条件继续</w:t>
            </w:r>
          </w:p>
        </w:tc>
        <w:tc>
          <w:tcPr>
            <w:tcW w:type="pct" w:w="2400"/>
            <w:tcMar>
              <w:top w:type="dxa" w:w="70"/>
              <w:left w:type="dxa" w:w="100"/>
              <w:bottom w:type="dxa" w:w="70"/>
              <w:right w:type="dxa" w:w="100"/>
            </w:tcMar>
          </w:tcPr>
          <w:p>
            <w:pPr>
              <w:spacing w:line="264"/>
              <w:jc w:val="left"/>
            </w:pPr>
            <w:r>
              <w:rPr>
                <w:rFonts w:ascii="Times New Roman" w:eastAsia="SimSun"/>
                <w:b w:val="false"/>
                <w:bCs w:val="false"/>
                <w:color w:val="000000"/>
                <w:sz w:val="19"/>
                <w:szCs w:val="19"/>
              </w:rPr>
              <w:t xml:space="preserve">仅当作者有 GPU 资源且预计两周内可完成时执行 6.3 的可选强化；否则撤回改投</w:t>
            </w:r>
          </w:p>
        </w:tc>
      </w:tr>
      <w:tr>
        <w:trPr>
          <w:cantSplit/>
        </w:trPr>
        <w:tc>
          <w:tcPr>
            <w:tcW w:type="pct" w:w="2000"/>
            <w:shd w:fill="F2F6F5" w:val="clear"/>
            <w:tcMar>
              <w:top w:type="dxa" w:w="70"/>
              <w:left w:type="dxa" w:w="100"/>
              <w:bottom w:type="dxa" w:w="70"/>
              <w:right w:type="dxa" w:w="100"/>
            </w:tcMar>
          </w:tcPr>
          <w:p>
            <w:pPr>
              <w:spacing w:line="264"/>
              <w:jc w:val="left"/>
            </w:pPr>
            <w:r>
              <w:rPr>
                <w:rFonts w:ascii="Times New Roman" w:eastAsia="SimSun"/>
                <w:b w:val="false"/>
                <w:bCs w:val="false"/>
                <w:color w:val="000000"/>
                <w:sz w:val="19"/>
                <w:szCs w:val="19"/>
              </w:rPr>
              <w:t xml:space="preserve">统计红线被触碰（为消警告删除边界条件/异常种子）</w:t>
            </w:r>
          </w:p>
        </w:tc>
        <w:tc>
          <w:tcPr>
            <w:tcW w:type="pct" w:w="600"/>
            <w:shd w:fill="F2F6F5" w:val="clear"/>
            <w:tcMar>
              <w:top w:type="dxa" w:w="70"/>
              <w:left w:type="dxa" w:w="100"/>
              <w:bottom w:type="dxa" w:w="70"/>
              <w:right w:type="dxa" w:w="100"/>
            </w:tcMar>
          </w:tcPr>
          <w:p>
            <w:pPr>
              <w:spacing w:line="264"/>
              <w:jc w:val="left"/>
            </w:pPr>
            <w:r>
              <w:rPr>
                <w:rFonts w:ascii="Times New Roman" w:eastAsia="SimSun"/>
                <w:b w:val="false"/>
                <w:bCs w:val="false"/>
                <w:color w:val="000000"/>
                <w:sz w:val="19"/>
                <w:szCs w:val="19"/>
              </w:rPr>
              <w:t xml:space="preserve">禁止</w:t>
            </w:r>
          </w:p>
        </w:tc>
        <w:tc>
          <w:tcPr>
            <w:tcW w:type="pct" w:w="2400"/>
            <w:shd w:fill="F2F6F5" w:val="clear"/>
            <w:tcMar>
              <w:top w:type="dxa" w:w="70"/>
              <w:left w:type="dxa" w:w="100"/>
              <w:bottom w:type="dxa" w:w="70"/>
              <w:right w:type="dxa" w:w="100"/>
            </w:tcMar>
          </w:tcPr>
          <w:p>
            <w:pPr>
              <w:spacing w:line="264"/>
              <w:jc w:val="left"/>
            </w:pPr>
            <w:r>
              <w:rPr>
                <w:rFonts w:ascii="Times New Roman" w:eastAsia="SimSun"/>
                <w:b w:val="false"/>
                <w:bCs w:val="false"/>
                <w:color w:val="000000"/>
                <w:sz w:val="19"/>
                <w:szCs w:val="19"/>
              </w:rPr>
              <w:t xml:space="preserve">任何情况下不允许；这是论文的最后价值所在</w:t>
            </w:r>
          </w:p>
        </w:tc>
      </w:tr>
    </w:tbl>
    <w:p>
      <w:pPr>
        <w:keepNext w:val="false"/>
        <w:spacing w:after="80" w:line="312"/>
        <w:ind w:firstLine="480"/>
        <w:jc w:val="both"/>
      </w:pPr>
      <w:r>
        <w:rPr>
          <w:rFonts w:ascii="Times New Roman" w:eastAsia="SimSun"/>
          <w:b w:val="false"/>
          <w:bCs w:val="false"/>
          <w:color w:val="000000"/>
          <w:sz w:val="24"/>
          <w:szCs w:val="24"/>
        </w:rPr>
        <w:t xml:space="preserve">底线声明：若六至八周内未获得可辩护的新规律，正确动作是以方案 A 形态完成一次 TMLR 投稿后停止本论文的迭代，把剩余精力投入下一个研究问题。本论文作为严谨的受控实证研究已有完整价值，不需要通过无限扩展来证明自己。</w:t>
      </w:r>
    </w:p>
    <w:p>
      <w:pPr>
        <w:pStyle w:val="Heading1"/>
        <w:spacing w:after="160" w:before="360" w:line="380" w:lineRule="atLeast"/>
      </w:pPr>
      <w:bookmarkStart w:name="_Toc30" w:id="30"/>
      <w:r>
        <w:rPr>
          <w:rFonts w:ascii="Times New Roman" w:eastAsia="SimHei"/>
          <w:b/>
          <w:bCs/>
          <w:color w:val="0B1C2C"/>
          <w:sz w:val="32"/>
          <w:szCs w:val="32"/>
        </w:rPr>
        <w:t xml:space="preserve">第八章 下一阶段工作计划</w:t>
      </w:r>
      <w:bookmarkEnd w:id="30"/>
    </w:p>
    <w:p>
      <w:pPr>
        <w:keepNext w:val="false"/>
        <w:spacing w:after="80" w:line="312"/>
        <w:ind w:firstLine="480"/>
        <w:jc w:val="both"/>
      </w:pPr>
      <w:r>
        <w:rPr>
          <w:rFonts w:ascii="Times New Roman" w:eastAsia="SimSun"/>
          <w:b w:val="false"/>
          <w:bCs w:val="false"/>
          <w:color w:val="000000"/>
          <w:sz w:val="24"/>
          <w:szCs w:val="24"/>
        </w:rPr>
        <w:t xml:space="preserve">按方案 B 与停止规则，给出六周的执行计划。每周末设判定点：未过判定点则触发第七章对应条款，不自动顺延。</w:t>
      </w:r>
    </w:p>
    <w:p>
      <w:pPr>
        <w:keepNext/>
        <w:spacing w:after="100" w:before="160" w:line="280"/>
        <w:jc w:val="center"/>
      </w:pPr>
      <w:r>
        <w:rPr>
          <w:rFonts w:ascii="Times New Roman" w:eastAsia="SimHei"/>
          <w:b/>
          <w:bCs/>
          <w:color w:val="404040"/>
          <w:sz w:val="21"/>
          <w:szCs w:val="21"/>
        </w:rPr>
        <w:t xml:space="preserve">表 8-1 六周执行计划</w:t>
      </w:r>
    </w:p>
    <w:tbl>
      <w:tblPr>
        <w:tblW w:type="pct" w:w="5000"/>
        <w:tblBorders>
          <w:top w:val="single" w:color="529286" w:sz="6"/>
          <w:left w:val="none" w:color="FFFFFF" w:sz="0"/>
          <w:bottom w:val="single" w:color="529286" w:sz="6"/>
          <w:right w:val="none" w:color="FFFFFF" w:sz="0"/>
          <w:insideH w:val="single" w:color="C8D4D0" w:sz="2"/>
          <w:insideV w:val="none" w:color="FFFFFF" w:sz="0"/>
        </w:tblBorders>
      </w:tblPr>
      <w:tblGrid>
        <w:gridCol w:w="1055"/>
        <w:gridCol w:w="3515"/>
        <w:gridCol w:w="2285"/>
        <w:gridCol w:w="1933"/>
      </w:tblGrid>
      <w:tr>
        <w:trPr>
          <w:cantSplit/>
          <w:tblHeader/>
        </w:trPr>
        <w:tc>
          <w:tcPr>
            <w:tcW w:type="pct" w:w="600"/>
            <w:shd w:fill="529286" w:val="clear"/>
            <w:tcMar>
              <w:top w:type="dxa" w:w="70"/>
              <w:left w:type="dxa" w:w="100"/>
              <w:bottom w:type="dxa" w:w="70"/>
              <w:right w:type="dxa" w:w="100"/>
            </w:tcMar>
          </w:tcPr>
          <w:p>
            <w:pPr>
              <w:spacing w:line="260"/>
              <w:jc w:val="center"/>
            </w:pPr>
            <w:r>
              <w:rPr>
                <w:rFonts w:ascii="Times New Roman" w:eastAsia="SimHei"/>
                <w:b/>
                <w:bCs/>
                <w:color w:val="FFFFFF"/>
                <w:sz w:val="19"/>
                <w:szCs w:val="19"/>
              </w:rPr>
              <w:t xml:space="preserve">周次</w:t>
            </w:r>
          </w:p>
        </w:tc>
        <w:tc>
          <w:tcPr>
            <w:tcW w:type="pct" w:w="2000"/>
            <w:shd w:fill="529286" w:val="clear"/>
            <w:tcMar>
              <w:top w:type="dxa" w:w="70"/>
              <w:left w:type="dxa" w:w="100"/>
              <w:bottom w:type="dxa" w:w="70"/>
              <w:right w:type="dxa" w:w="100"/>
            </w:tcMar>
          </w:tcPr>
          <w:p>
            <w:pPr>
              <w:spacing w:line="260"/>
              <w:jc w:val="center"/>
            </w:pPr>
            <w:r>
              <w:rPr>
                <w:rFonts w:ascii="Times New Roman" w:eastAsia="SimHei"/>
                <w:b/>
                <w:bCs/>
                <w:color w:val="FFFFFF"/>
                <w:sz w:val="19"/>
                <w:szCs w:val="19"/>
              </w:rPr>
              <w:t xml:space="preserve">任务</w:t>
            </w:r>
          </w:p>
        </w:tc>
        <w:tc>
          <w:tcPr>
            <w:tcW w:type="pct" w:w="1300"/>
            <w:shd w:fill="529286" w:val="clear"/>
            <w:tcMar>
              <w:top w:type="dxa" w:w="70"/>
              <w:left w:type="dxa" w:w="100"/>
              <w:bottom w:type="dxa" w:w="70"/>
              <w:right w:type="dxa" w:w="100"/>
            </w:tcMar>
          </w:tcPr>
          <w:p>
            <w:pPr>
              <w:spacing w:line="260"/>
              <w:jc w:val="center"/>
            </w:pPr>
            <w:r>
              <w:rPr>
                <w:rFonts w:ascii="Times New Roman" w:eastAsia="SimHei"/>
                <w:b/>
                <w:bCs/>
                <w:color w:val="FFFFFF"/>
                <w:sz w:val="19"/>
                <w:szCs w:val="19"/>
              </w:rPr>
              <w:t xml:space="preserve">产出</w:t>
            </w:r>
          </w:p>
        </w:tc>
        <w:tc>
          <w:tcPr>
            <w:tcW w:type="pct" w:w="1100"/>
            <w:shd w:fill="529286" w:val="clear"/>
            <w:tcMar>
              <w:top w:type="dxa" w:w="70"/>
              <w:left w:type="dxa" w:w="100"/>
              <w:bottom w:type="dxa" w:w="70"/>
              <w:right w:type="dxa" w:w="100"/>
            </w:tcMar>
          </w:tcPr>
          <w:p>
            <w:pPr>
              <w:spacing w:line="260"/>
              <w:jc w:val="center"/>
            </w:pPr>
            <w:r>
              <w:rPr>
                <w:rFonts w:ascii="Times New Roman" w:eastAsia="SimHei"/>
                <w:b/>
                <w:bCs/>
                <w:color w:val="FFFFFF"/>
                <w:sz w:val="19"/>
                <w:szCs w:val="19"/>
              </w:rPr>
              <w:t xml:space="preserve">周末判定点</w:t>
            </w:r>
          </w:p>
        </w:tc>
      </w:tr>
      <w:tr>
        <w:trPr>
          <w:cantSplit/>
        </w:trPr>
        <w:tc>
          <w:tcPr>
            <w:tcW w:type="pct" w:w="600"/>
            <w:tcMar>
              <w:top w:type="dxa" w:w="70"/>
              <w:left w:type="dxa" w:w="100"/>
              <w:bottom w:type="dxa" w:w="70"/>
              <w:right w:type="dxa" w:w="100"/>
            </w:tcMar>
          </w:tcPr>
          <w:p>
            <w:pPr>
              <w:spacing w:line="264"/>
              <w:jc w:val="left"/>
            </w:pPr>
            <w:r>
              <w:rPr>
                <w:rFonts w:ascii="Times New Roman" w:eastAsia="SimSun"/>
                <w:b w:val="false"/>
                <w:bCs w:val="false"/>
                <w:color w:val="000000"/>
                <w:sz w:val="19"/>
                <w:szCs w:val="19"/>
              </w:rPr>
              <w:t xml:space="preserve">第 1 周</w:t>
            </w:r>
          </w:p>
        </w:tc>
        <w:tc>
          <w:tcPr>
            <w:tcW w:type="pct" w:w="2000"/>
            <w:tcMar>
              <w:top w:type="dxa" w:w="70"/>
              <w:left w:type="dxa" w:w="100"/>
              <w:bottom w:type="dxa" w:w="70"/>
              <w:right w:type="dxa" w:w="100"/>
            </w:tcMar>
          </w:tcPr>
          <w:p>
            <w:pPr>
              <w:spacing w:line="264"/>
              <w:jc w:val="left"/>
            </w:pPr>
            <w:r>
              <w:rPr>
                <w:rFonts w:ascii="Times New Roman" w:eastAsia="SimSun"/>
                <w:b w:val="false"/>
                <w:bCs w:val="false"/>
                <w:color w:val="000000"/>
                <w:sz w:val="19"/>
                <w:szCs w:val="19"/>
              </w:rPr>
              <w:t xml:space="preserve">预注册补丁；管线 k 参数化验证与 seed0 位级门控；启动 FMNIST 8 配置训练</w:t>
            </w:r>
          </w:p>
        </w:tc>
        <w:tc>
          <w:tcPr>
            <w:tcW w:type="pct" w:w="1300"/>
            <w:tcMar>
              <w:top w:type="dxa" w:w="70"/>
              <w:left w:type="dxa" w:w="100"/>
              <w:bottom w:type="dxa" w:w="70"/>
              <w:right w:type="dxa" w:w="100"/>
            </w:tcMar>
          </w:tcPr>
          <w:p>
            <w:pPr>
              <w:spacing w:line="264"/>
              <w:jc w:val="left"/>
            </w:pPr>
            <w:r>
              <w:rPr>
                <w:rFonts w:ascii="Times New Roman" w:eastAsia="SimSun"/>
                <w:b w:val="false"/>
                <w:bCs w:val="false"/>
                <w:color w:val="000000"/>
                <w:sz w:val="19"/>
                <w:szCs w:val="19"/>
              </w:rPr>
              <w:t xml:space="preserve">addendum-design-kB.md；8 个进行中配置</w:t>
            </w:r>
          </w:p>
        </w:tc>
        <w:tc>
          <w:tcPr>
            <w:tcW w:type="pct" w:w="1100"/>
            <w:tcMar>
              <w:top w:type="dxa" w:w="70"/>
              <w:left w:type="dxa" w:w="100"/>
              <w:bottom w:type="dxa" w:w="70"/>
              <w:right w:type="dxa" w:w="100"/>
            </w:tcMar>
          </w:tcPr>
          <w:p>
            <w:pPr>
              <w:spacing w:line="264"/>
              <w:jc w:val="left"/>
            </w:pPr>
            <w:r>
              <w:rPr>
                <w:rFonts w:ascii="Times New Roman" w:eastAsia="SimSun"/>
                <w:b w:val="false"/>
                <w:bCs w:val="false"/>
                <w:color w:val="000000"/>
                <w:sz w:val="19"/>
                <w:szCs w:val="19"/>
              </w:rPr>
              <w:t xml:space="preserve">seed0 与既有 k=3 记录位级一致</w:t>
            </w:r>
          </w:p>
        </w:tc>
      </w:tr>
      <w:tr>
        <w:trPr>
          <w:cantSplit/>
        </w:trPr>
        <w:tc>
          <w:tcPr>
            <w:tcW w:type="pct" w:w="600"/>
            <w:shd w:fill="F2F6F5" w:val="clear"/>
            <w:tcMar>
              <w:top w:type="dxa" w:w="70"/>
              <w:left w:type="dxa" w:w="100"/>
              <w:bottom w:type="dxa" w:w="70"/>
              <w:right w:type="dxa" w:w="100"/>
            </w:tcMar>
          </w:tcPr>
          <w:p>
            <w:pPr>
              <w:spacing w:line="264"/>
              <w:jc w:val="left"/>
            </w:pPr>
            <w:r>
              <w:rPr>
                <w:rFonts w:ascii="Times New Roman" w:eastAsia="SimSun"/>
                <w:b w:val="false"/>
                <w:bCs w:val="false"/>
                <w:color w:val="000000"/>
                <w:sz w:val="19"/>
                <w:szCs w:val="19"/>
              </w:rPr>
              <w:t xml:space="preserve">第 2 周</w:t>
            </w:r>
          </w:p>
        </w:tc>
        <w:tc>
          <w:tcPr>
            <w:tcW w:type="pct" w:w="2000"/>
            <w:shd w:fill="F2F6F5" w:val="clear"/>
            <w:tcMar>
              <w:top w:type="dxa" w:w="70"/>
              <w:left w:type="dxa" w:w="100"/>
              <w:bottom w:type="dxa" w:w="70"/>
              <w:right w:type="dxa" w:w="100"/>
            </w:tcMar>
          </w:tcPr>
          <w:p>
            <w:pPr>
              <w:spacing w:line="264"/>
              <w:jc w:val="left"/>
            </w:pPr>
            <w:r>
              <w:rPr>
                <w:rFonts w:ascii="Times New Roman" w:eastAsia="SimSun"/>
                <w:b w:val="false"/>
                <w:bCs w:val="false"/>
                <w:color w:val="000000"/>
                <w:sz w:val="19"/>
                <w:szCs w:val="19"/>
              </w:rPr>
              <w:t xml:space="preserve">完成全部 12 配置；执行预注册统计分析</w:t>
            </w:r>
          </w:p>
        </w:tc>
        <w:tc>
          <w:tcPr>
            <w:tcW w:type="pct" w:w="1300"/>
            <w:shd w:fill="F2F6F5" w:val="clear"/>
            <w:tcMar>
              <w:top w:type="dxa" w:w="70"/>
              <w:left w:type="dxa" w:w="100"/>
              <w:bottom w:type="dxa" w:w="70"/>
              <w:right w:type="dxa" w:w="100"/>
            </w:tcMar>
          </w:tcPr>
          <w:p>
            <w:pPr>
              <w:spacing w:line="264"/>
              <w:jc w:val="left"/>
            </w:pPr>
            <w:r>
              <w:rPr>
                <w:rFonts w:ascii="Times New Roman" w:eastAsia="SimSun"/>
                <w:b w:val="false"/>
                <w:bCs w:val="false"/>
                <w:color w:val="000000"/>
                <w:sz w:val="19"/>
                <w:szCs w:val="19"/>
              </w:rPr>
              <w:t xml:space="preserve">新 JSONL 全量 + contrasts 扩展</w:t>
            </w:r>
          </w:p>
        </w:tc>
        <w:tc>
          <w:tcPr>
            <w:tcW w:type="pct" w:w="1100"/>
            <w:shd w:fill="F2F6F5" w:val="clear"/>
            <w:tcMar>
              <w:top w:type="dxa" w:w="70"/>
              <w:left w:type="dxa" w:w="100"/>
              <w:bottom w:type="dxa" w:w="70"/>
              <w:right w:type="dxa" w:w="100"/>
            </w:tcMar>
          </w:tcPr>
          <w:p>
            <w:pPr>
              <w:spacing w:line="264"/>
              <w:jc w:val="left"/>
            </w:pPr>
            <w:r>
              <w:rPr>
                <w:rFonts w:ascii="Times New Roman" w:eastAsia="SimSun"/>
                <w:b w:val="false"/>
                <w:bCs w:val="false"/>
                <w:color w:val="000000"/>
                <w:sz w:val="19"/>
                <w:szCs w:val="19"/>
              </w:rPr>
              <w:t xml:space="preserve">无 NaN；对比族全部可计算</w:t>
            </w:r>
          </w:p>
        </w:tc>
      </w:tr>
      <w:tr>
        <w:trPr>
          <w:cantSplit/>
        </w:trPr>
        <w:tc>
          <w:tcPr>
            <w:tcW w:type="pct" w:w="600"/>
            <w:tcMar>
              <w:top w:type="dxa" w:w="70"/>
              <w:left w:type="dxa" w:w="100"/>
              <w:bottom w:type="dxa" w:w="70"/>
              <w:right w:type="dxa" w:w="100"/>
            </w:tcMar>
          </w:tcPr>
          <w:p>
            <w:pPr>
              <w:spacing w:line="264"/>
              <w:jc w:val="left"/>
            </w:pPr>
            <w:r>
              <w:rPr>
                <w:rFonts w:ascii="Times New Roman" w:eastAsia="SimSun"/>
                <w:b w:val="false"/>
                <w:bCs w:val="false"/>
                <w:color w:val="000000"/>
                <w:sz w:val="19"/>
                <w:szCs w:val="19"/>
              </w:rPr>
              <w:t xml:space="preserve">第 3 周</w:t>
            </w:r>
          </w:p>
        </w:tc>
        <w:tc>
          <w:tcPr>
            <w:tcW w:type="pct" w:w="2000"/>
            <w:tcMar>
              <w:top w:type="dxa" w:w="70"/>
              <w:left w:type="dxa" w:w="100"/>
              <w:bottom w:type="dxa" w:w="70"/>
              <w:right w:type="dxa" w:w="100"/>
            </w:tcMar>
          </w:tcPr>
          <w:p>
            <w:pPr>
              <w:spacing w:line="264"/>
              <w:jc w:val="left"/>
            </w:pPr>
            <w:r>
              <w:rPr>
                <w:rFonts w:ascii="Times New Roman" w:eastAsia="SimSun"/>
                <w:b w:val="false"/>
                <w:bCs w:val="false"/>
                <w:color w:val="000000"/>
                <w:sz w:val="19"/>
                <w:szCs w:val="19"/>
              </w:rPr>
              <w:t xml:space="preserve">结果判定（H1/H2/H3）；机制图；与停止规则对照定稿叙事</w:t>
            </w:r>
          </w:p>
        </w:tc>
        <w:tc>
          <w:tcPr>
            <w:tcW w:type="pct" w:w="1300"/>
            <w:tcMar>
              <w:top w:type="dxa" w:w="70"/>
              <w:left w:type="dxa" w:w="100"/>
              <w:bottom w:type="dxa" w:w="70"/>
              <w:right w:type="dxa" w:w="100"/>
            </w:tcMar>
          </w:tcPr>
          <w:p>
            <w:pPr>
              <w:spacing w:line="264"/>
              <w:jc w:val="left"/>
            </w:pPr>
            <w:r>
              <w:rPr>
                <w:rFonts w:ascii="Times New Roman" w:eastAsia="SimSun"/>
                <w:b w:val="false"/>
                <w:bCs w:val="false"/>
                <w:color w:val="000000"/>
                <w:sz w:val="19"/>
                <w:szCs w:val="19"/>
              </w:rPr>
              <w:t xml:space="preserve">判定记录 + 图</w:t>
            </w:r>
          </w:p>
        </w:tc>
        <w:tc>
          <w:tcPr>
            <w:tcW w:type="pct" w:w="1100"/>
            <w:tcMar>
              <w:top w:type="dxa" w:w="70"/>
              <w:left w:type="dxa" w:w="100"/>
              <w:bottom w:type="dxa" w:w="70"/>
              <w:right w:type="dxa" w:w="100"/>
            </w:tcMar>
          </w:tcPr>
          <w:p>
            <w:pPr>
              <w:spacing w:line="264"/>
              <w:jc w:val="left"/>
            </w:pPr>
            <w:r>
              <w:rPr>
                <w:rFonts w:ascii="Times New Roman" w:eastAsia="SimSun"/>
                <w:b w:val="false"/>
                <w:bCs w:val="false"/>
                <w:color w:val="000000"/>
                <w:sz w:val="19"/>
                <w:szCs w:val="19"/>
              </w:rPr>
              <w:t xml:space="preserve">三假设各有明确判定</w:t>
            </w:r>
          </w:p>
        </w:tc>
      </w:tr>
      <w:tr>
        <w:trPr>
          <w:cantSplit/>
        </w:trPr>
        <w:tc>
          <w:tcPr>
            <w:tcW w:type="pct" w:w="600"/>
            <w:shd w:fill="F2F6F5" w:val="clear"/>
            <w:tcMar>
              <w:top w:type="dxa" w:w="70"/>
              <w:left w:type="dxa" w:w="100"/>
              <w:bottom w:type="dxa" w:w="70"/>
              <w:right w:type="dxa" w:w="100"/>
            </w:tcMar>
          </w:tcPr>
          <w:p>
            <w:pPr>
              <w:spacing w:line="264"/>
              <w:jc w:val="left"/>
            </w:pPr>
            <w:r>
              <w:rPr>
                <w:rFonts w:ascii="Times New Roman" w:eastAsia="SimSun"/>
                <w:b w:val="false"/>
                <w:bCs w:val="false"/>
                <w:color w:val="000000"/>
                <w:sz w:val="19"/>
                <w:szCs w:val="19"/>
              </w:rPr>
              <w:t xml:space="preserve">第 4 周</w:t>
            </w:r>
          </w:p>
        </w:tc>
        <w:tc>
          <w:tcPr>
            <w:tcW w:type="pct" w:w="2000"/>
            <w:shd w:fill="F2F6F5" w:val="clear"/>
            <w:tcMar>
              <w:top w:type="dxa" w:w="70"/>
              <w:left w:type="dxa" w:w="100"/>
              <w:bottom w:type="dxa" w:w="70"/>
              <w:right w:type="dxa" w:w="100"/>
            </w:tcMar>
          </w:tcPr>
          <w:p>
            <w:pPr>
              <w:spacing w:line="264"/>
              <w:jc w:val="left"/>
            </w:pPr>
            <w:r>
              <w:rPr>
                <w:rFonts w:ascii="Times New Roman" w:eastAsia="SimSun"/>
                <w:b w:val="false"/>
                <w:bCs w:val="false"/>
                <w:color w:val="000000"/>
                <w:sz w:val="19"/>
                <w:szCs w:val="19"/>
              </w:rPr>
              <w:t xml:space="preserve">论文重构：新标题/摘要/定位；预算规律升主结果；压缩确认性章节</w:t>
            </w:r>
          </w:p>
        </w:tc>
        <w:tc>
          <w:tcPr>
            <w:tcW w:type="pct" w:w="1300"/>
            <w:shd w:fill="F2F6F5" w:val="clear"/>
            <w:tcMar>
              <w:top w:type="dxa" w:w="70"/>
              <w:left w:type="dxa" w:w="100"/>
              <w:bottom w:type="dxa" w:w="70"/>
              <w:right w:type="dxa" w:w="100"/>
            </w:tcMar>
          </w:tcPr>
          <w:p>
            <w:pPr>
              <w:spacing w:line="264"/>
              <w:jc w:val="left"/>
            </w:pPr>
            <w:r>
              <w:rPr>
                <w:rFonts w:ascii="Times New Roman" w:eastAsia="SimSun"/>
                <w:b w:val="false"/>
                <w:bCs w:val="false"/>
                <w:color w:val="000000"/>
                <w:sz w:val="19"/>
                <w:szCs w:val="19"/>
              </w:rPr>
              <w:t xml:space="preserve">v5.0.0 全文草稿</w:t>
            </w:r>
          </w:p>
        </w:tc>
        <w:tc>
          <w:tcPr>
            <w:tcW w:type="pct" w:w="1100"/>
            <w:shd w:fill="F2F6F5" w:val="clear"/>
            <w:tcMar>
              <w:top w:type="dxa" w:w="70"/>
              <w:left w:type="dxa" w:w="100"/>
              <w:bottom w:type="dxa" w:w="70"/>
              <w:right w:type="dxa" w:w="100"/>
            </w:tcMar>
          </w:tcPr>
          <w:p>
            <w:pPr>
              <w:spacing w:line="264"/>
              <w:jc w:val="left"/>
            </w:pPr>
            <w:r>
              <w:rPr>
                <w:rFonts w:ascii="Times New Roman" w:eastAsia="SimSun"/>
                <w:b w:val="false"/>
                <w:bCs w:val="false"/>
                <w:color w:val="000000"/>
                <w:sz w:val="19"/>
                <w:szCs w:val="19"/>
              </w:rPr>
              <w:t xml:space="preserve">主张-证据矩阵更新且无未绑定主张</w:t>
            </w:r>
          </w:p>
        </w:tc>
      </w:tr>
      <w:tr>
        <w:trPr>
          <w:cantSplit/>
        </w:trPr>
        <w:tc>
          <w:tcPr>
            <w:tcW w:type="pct" w:w="600"/>
            <w:tcMar>
              <w:top w:type="dxa" w:w="70"/>
              <w:left w:type="dxa" w:w="100"/>
              <w:bottom w:type="dxa" w:w="70"/>
              <w:right w:type="dxa" w:w="100"/>
            </w:tcMar>
          </w:tcPr>
          <w:p>
            <w:pPr>
              <w:spacing w:line="264"/>
              <w:jc w:val="left"/>
            </w:pPr>
            <w:r>
              <w:rPr>
                <w:rFonts w:ascii="Times New Roman" w:eastAsia="SimSun"/>
                <w:b w:val="false"/>
                <w:bCs w:val="false"/>
                <w:color w:val="000000"/>
                <w:sz w:val="19"/>
                <w:szCs w:val="19"/>
              </w:rPr>
              <w:t xml:space="preserve">第 5 周</w:t>
            </w:r>
          </w:p>
        </w:tc>
        <w:tc>
          <w:tcPr>
            <w:tcW w:type="pct" w:w="2000"/>
            <w:tcMar>
              <w:top w:type="dxa" w:w="70"/>
              <w:left w:type="dxa" w:w="100"/>
              <w:bottom w:type="dxa" w:w="70"/>
              <w:right w:type="dxa" w:w="100"/>
            </w:tcMar>
          </w:tcPr>
          <w:p>
            <w:pPr>
              <w:spacing w:line="264"/>
              <w:jc w:val="left"/>
            </w:pPr>
            <w:r>
              <w:rPr>
                <w:rFonts w:ascii="Times New Roman" w:eastAsia="SimSun"/>
                <w:b w:val="false"/>
                <w:bCs w:val="false"/>
                <w:color w:val="000000"/>
                <w:sz w:val="19"/>
                <w:szCs w:val="19"/>
              </w:rPr>
              <w:t xml:space="preserve">内部审计：新数值独立复算、红线检查、编译检查；投稿包制作</w:t>
            </w:r>
          </w:p>
        </w:tc>
        <w:tc>
          <w:tcPr>
            <w:tcW w:type="pct" w:w="1300"/>
            <w:tcMar>
              <w:top w:type="dxa" w:w="70"/>
              <w:left w:type="dxa" w:w="100"/>
              <w:bottom w:type="dxa" w:w="70"/>
              <w:right w:type="dxa" w:w="100"/>
            </w:tcMar>
          </w:tcPr>
          <w:p>
            <w:pPr>
              <w:spacing w:line="264"/>
              <w:jc w:val="left"/>
            </w:pPr>
            <w:r>
              <w:rPr>
                <w:rFonts w:ascii="Times New Roman" w:eastAsia="SimSun"/>
                <w:b w:val="false"/>
                <w:bCs w:val="false"/>
                <w:color w:val="000000"/>
                <w:sz w:val="19"/>
                <w:szCs w:val="19"/>
              </w:rPr>
              <w:t xml:space="preserve">核验报告 + 投稿包</w:t>
            </w:r>
          </w:p>
        </w:tc>
        <w:tc>
          <w:tcPr>
            <w:tcW w:type="pct" w:w="1100"/>
            <w:tcMar>
              <w:top w:type="dxa" w:w="70"/>
              <w:left w:type="dxa" w:w="100"/>
              <w:bottom w:type="dxa" w:w="70"/>
              <w:right w:type="dxa" w:w="100"/>
            </w:tcMar>
          </w:tcPr>
          <w:p>
            <w:pPr>
              <w:spacing w:line="264"/>
              <w:jc w:val="left"/>
            </w:pPr>
            <w:r>
              <w:rPr>
                <w:rFonts w:ascii="Times New Roman" w:eastAsia="SimSun"/>
                <w:b w:val="false"/>
                <w:bCs w:val="false"/>
                <w:color w:val="000000"/>
                <w:sz w:val="19"/>
                <w:szCs w:val="19"/>
              </w:rPr>
              <w:t xml:space="preserve">审计全过；投稿包与仓库一致</w:t>
            </w:r>
          </w:p>
        </w:tc>
      </w:tr>
      <w:tr>
        <w:trPr>
          <w:cantSplit/>
        </w:trPr>
        <w:tc>
          <w:tcPr>
            <w:tcW w:type="pct" w:w="600"/>
            <w:shd w:fill="F2F6F5" w:val="clear"/>
            <w:tcMar>
              <w:top w:type="dxa" w:w="70"/>
              <w:left w:type="dxa" w:w="100"/>
              <w:bottom w:type="dxa" w:w="70"/>
              <w:right w:type="dxa" w:w="100"/>
            </w:tcMar>
          </w:tcPr>
          <w:p>
            <w:pPr>
              <w:spacing w:line="264"/>
              <w:jc w:val="left"/>
            </w:pPr>
            <w:r>
              <w:rPr>
                <w:rFonts w:ascii="Times New Roman" w:eastAsia="SimSun"/>
                <w:b w:val="false"/>
                <w:bCs w:val="false"/>
                <w:color w:val="000000"/>
                <w:sz w:val="19"/>
                <w:szCs w:val="19"/>
              </w:rPr>
              <w:t xml:space="preserve">第 6 周</w:t>
            </w:r>
          </w:p>
        </w:tc>
        <w:tc>
          <w:tcPr>
            <w:tcW w:type="pct" w:w="2000"/>
            <w:shd w:fill="F2F6F5" w:val="clear"/>
            <w:tcMar>
              <w:top w:type="dxa" w:w="70"/>
              <w:left w:type="dxa" w:w="100"/>
              <w:bottom w:type="dxa" w:w="70"/>
              <w:right w:type="dxa" w:w="100"/>
            </w:tcMar>
          </w:tcPr>
          <w:p>
            <w:pPr>
              <w:spacing w:line="264"/>
              <w:jc w:val="left"/>
            </w:pPr>
            <w:r>
              <w:rPr>
                <w:rFonts w:ascii="Times New Roman" w:eastAsia="SimSun"/>
                <w:b w:val="false"/>
                <w:bCs w:val="false"/>
                <w:color w:val="000000"/>
                <w:sz w:val="19"/>
                <w:szCs w:val="19"/>
              </w:rPr>
              <w:t xml:space="preserve">提交目标期刊；意见与处置归档</w:t>
            </w:r>
          </w:p>
        </w:tc>
        <w:tc>
          <w:tcPr>
            <w:tcW w:type="pct" w:w="1300"/>
            <w:shd w:fill="F2F6F5" w:val="clear"/>
            <w:tcMar>
              <w:top w:type="dxa" w:w="70"/>
              <w:left w:type="dxa" w:w="100"/>
              <w:bottom w:type="dxa" w:w="70"/>
              <w:right w:type="dxa" w:w="100"/>
            </w:tcMar>
          </w:tcPr>
          <w:p>
            <w:pPr>
              <w:spacing w:line="264"/>
              <w:jc w:val="left"/>
            </w:pPr>
            <w:r>
              <w:rPr>
                <w:rFonts w:ascii="Times New Roman" w:eastAsia="SimSun"/>
                <w:b w:val="false"/>
                <w:bCs w:val="false"/>
                <w:color w:val="000000"/>
                <w:sz w:val="19"/>
                <w:szCs w:val="19"/>
              </w:rPr>
              <w:t xml:space="preserve">提交确认 + 归档</w:t>
            </w:r>
          </w:p>
        </w:tc>
        <w:tc>
          <w:tcPr>
            <w:tcW w:type="pct" w:w="1100"/>
            <w:shd w:fill="F2F6F5" w:val="clear"/>
            <w:tcMar>
              <w:top w:type="dxa" w:w="70"/>
              <w:left w:type="dxa" w:w="100"/>
              <w:bottom w:type="dxa" w:w="70"/>
              <w:right w:type="dxa" w:w="100"/>
            </w:tcMar>
          </w:tcPr>
          <w:p>
            <w:pPr>
              <w:spacing w:line="264"/>
              <w:jc w:val="left"/>
            </w:pPr>
            <w:r>
              <w:rPr>
                <w:rFonts w:ascii="Times New Roman" w:eastAsia="SimSun"/>
                <w:b w:val="false"/>
                <w:bCs w:val="false"/>
                <w:color w:val="000000"/>
                <w:sz w:val="19"/>
                <w:szCs w:val="19"/>
              </w:rPr>
              <w:t xml:space="preserve">提交完成</w:t>
            </w:r>
          </w:p>
        </w:tc>
      </w:tr>
    </w:tbl>
    <w:p>
      <w:pPr>
        <w:pStyle w:val="Heading1"/>
        <w:spacing w:after="160" w:before="360" w:line="380" w:lineRule="atLeast"/>
      </w:pPr>
      <w:bookmarkStart w:name="_Toc31" w:id="31"/>
      <w:r>
        <w:rPr>
          <w:rFonts w:ascii="Times New Roman" w:eastAsia="SimHei"/>
          <w:b/>
          <w:bCs/>
          <w:color w:val="0B1C2C"/>
          <w:sz w:val="32"/>
          <w:szCs w:val="32"/>
        </w:rPr>
        <w:t xml:space="preserve">第九章 期刊重选判断框架</w:t>
      </w:r>
      <w:bookmarkEnd w:id="31"/>
    </w:p>
    <w:p>
      <w:pPr>
        <w:keepNext w:val="false"/>
        <w:spacing w:after="80" w:line="312"/>
        <w:ind w:firstLine="480"/>
        <w:jc w:val="both"/>
      </w:pPr>
      <w:r>
        <w:rPr>
          <w:rFonts w:ascii="Times New Roman" w:eastAsia="SimSun"/>
          <w:b w:val="false"/>
          <w:bCs w:val="false"/>
          <w:color w:val="000000"/>
          <w:sz w:val="24"/>
          <w:szCs w:val="24"/>
        </w:rPr>
        <w:t xml:space="preserve">期刊选择应在完成原创性审计之后做（本报告即是），且只与论文的最终形态绑定：方案 A/B 形态对应实证与严谨优先的通道，方案 C 形态才对应方法创新通道。以下按三类给出，核验状态逐项标注（核验日期 2026-10-19；费用与政策以投稿时官网为准）。</w:t>
      </w:r>
    </w:p>
    <w:p>
      <w:pPr>
        <w:keepNext/>
        <w:spacing w:after="100" w:before="160" w:line="280"/>
        <w:jc w:val="center"/>
      </w:pPr>
      <w:r>
        <w:rPr>
          <w:rFonts w:ascii="Times New Roman" w:eastAsia="SimHei"/>
          <w:b/>
          <w:bCs/>
          <w:color w:val="404040"/>
          <w:sz w:val="21"/>
          <w:szCs w:val="21"/>
        </w:rPr>
        <w:t xml:space="preserve">表 9-1 三类期刊框架与核验状态</w:t>
      </w:r>
    </w:p>
    <w:tbl>
      <w:tblPr>
        <w:tblW w:type="pct" w:w="5000"/>
        <w:tblBorders>
          <w:top w:val="single" w:color="529286" w:sz="6"/>
          <w:left w:val="none" w:color="FFFFFF" w:sz="0"/>
          <w:bottom w:val="single" w:color="529286" w:sz="6"/>
          <w:right w:val="none" w:color="FFFFFF" w:sz="0"/>
          <w:insideH w:val="single" w:color="C8D4D0" w:sz="2"/>
          <w:insideV w:val="none" w:color="FFFFFF" w:sz="0"/>
        </w:tblBorders>
      </w:tblPr>
      <w:tblGrid>
        <w:gridCol w:w="1758"/>
        <w:gridCol w:w="1933"/>
        <w:gridCol w:w="1758"/>
        <w:gridCol w:w="3339"/>
      </w:tblGrid>
      <w:tr>
        <w:trPr>
          <w:cantSplit/>
          <w:tblHeader/>
        </w:trPr>
        <w:tc>
          <w:tcPr>
            <w:tcW w:type="pct" w:w="1000"/>
            <w:shd w:fill="529286" w:val="clear"/>
            <w:tcMar>
              <w:top w:type="dxa" w:w="70"/>
              <w:left w:type="dxa" w:w="100"/>
              <w:bottom w:type="dxa" w:w="70"/>
              <w:right w:type="dxa" w:w="100"/>
            </w:tcMar>
          </w:tcPr>
          <w:p>
            <w:pPr>
              <w:spacing w:line="260"/>
              <w:jc w:val="center"/>
            </w:pPr>
            <w:r>
              <w:rPr>
                <w:rFonts w:ascii="Times New Roman" w:eastAsia="SimHei"/>
                <w:b/>
                <w:bCs/>
                <w:color w:val="FFFFFF"/>
                <w:sz w:val="18"/>
                <w:szCs w:val="18"/>
              </w:rPr>
              <w:t xml:space="preserve">类别</w:t>
            </w:r>
          </w:p>
        </w:tc>
        <w:tc>
          <w:tcPr>
            <w:tcW w:type="pct" w:w="1100"/>
            <w:shd w:fill="529286" w:val="clear"/>
            <w:tcMar>
              <w:top w:type="dxa" w:w="70"/>
              <w:left w:type="dxa" w:w="100"/>
              <w:bottom w:type="dxa" w:w="70"/>
              <w:right w:type="dxa" w:w="100"/>
            </w:tcMar>
          </w:tcPr>
          <w:p>
            <w:pPr>
              <w:spacing w:line="260"/>
              <w:jc w:val="center"/>
            </w:pPr>
            <w:r>
              <w:rPr>
                <w:rFonts w:ascii="Times New Roman" w:eastAsia="SimHei"/>
                <w:b/>
                <w:bCs/>
                <w:color w:val="FFFFFF"/>
                <w:sz w:val="18"/>
                <w:szCs w:val="18"/>
              </w:rPr>
              <w:t xml:space="preserve">代表期刊</w:t>
            </w:r>
          </w:p>
        </w:tc>
        <w:tc>
          <w:tcPr>
            <w:tcW w:type="pct" w:w="1000"/>
            <w:shd w:fill="529286" w:val="clear"/>
            <w:tcMar>
              <w:top w:type="dxa" w:w="70"/>
              <w:left w:type="dxa" w:w="100"/>
              <w:bottom w:type="dxa" w:w="70"/>
              <w:right w:type="dxa" w:w="100"/>
            </w:tcMar>
          </w:tcPr>
          <w:p>
            <w:pPr>
              <w:spacing w:line="260"/>
              <w:jc w:val="center"/>
            </w:pPr>
            <w:r>
              <w:rPr>
                <w:rFonts w:ascii="Times New Roman" w:eastAsia="SimHei"/>
                <w:b/>
                <w:bCs/>
                <w:color w:val="FFFFFF"/>
                <w:sz w:val="18"/>
                <w:szCs w:val="18"/>
              </w:rPr>
              <w:t xml:space="preserve">适配条件</w:t>
            </w:r>
          </w:p>
        </w:tc>
        <w:tc>
          <w:tcPr>
            <w:tcW w:type="pct" w:w="1900"/>
            <w:shd w:fill="529286" w:val="clear"/>
            <w:tcMar>
              <w:top w:type="dxa" w:w="70"/>
              <w:left w:type="dxa" w:w="100"/>
              <w:bottom w:type="dxa" w:w="70"/>
              <w:right w:type="dxa" w:w="100"/>
            </w:tcMar>
          </w:tcPr>
          <w:p>
            <w:pPr>
              <w:spacing w:line="260"/>
              <w:jc w:val="center"/>
            </w:pPr>
            <w:r>
              <w:rPr>
                <w:rFonts w:ascii="Times New Roman" w:eastAsia="SimHei"/>
                <w:b/>
                <w:bCs/>
                <w:color w:val="FFFFFF"/>
                <w:sz w:val="18"/>
                <w:szCs w:val="18"/>
              </w:rPr>
              <w:t xml:space="preserve">核验状态（2026-10-19）</w:t>
            </w:r>
          </w:p>
        </w:tc>
      </w:tr>
      <w:tr>
        <w:trPr>
          <w:cantSplit/>
        </w:trPr>
        <w:tc>
          <w:tcPr>
            <w:tcW w:type="pct" w:w="1000"/>
            <w:tcMar>
              <w:top w:type="dxa" w:w="70"/>
              <w:left w:type="dxa" w:w="100"/>
              <w:bottom w:type="dxa" w:w="70"/>
              <w:right w:type="dxa" w:w="100"/>
            </w:tcMar>
          </w:tcPr>
          <w:p>
            <w:pPr>
              <w:spacing w:line="264"/>
              <w:jc w:val="left"/>
            </w:pPr>
            <w:r>
              <w:rPr>
                <w:rFonts w:ascii="Times New Roman" w:eastAsia="SimSun"/>
                <w:b w:val="false"/>
                <w:bCs w:val="false"/>
                <w:color w:val="000000"/>
                <w:sz w:val="18"/>
                <w:szCs w:val="18"/>
              </w:rPr>
              <w:t xml:space="preserve">以主张-证据支持为标准（方案 A/B 首选）</w:t>
            </w:r>
          </w:p>
        </w:tc>
        <w:tc>
          <w:tcPr>
            <w:tcW w:type="pct" w:w="1100"/>
            <w:tcMar>
              <w:top w:type="dxa" w:w="70"/>
              <w:left w:type="dxa" w:w="100"/>
              <w:bottom w:type="dxa" w:w="70"/>
              <w:right w:type="dxa" w:w="100"/>
            </w:tcMar>
          </w:tcPr>
          <w:p>
            <w:pPr>
              <w:spacing w:line="264"/>
              <w:jc w:val="left"/>
            </w:pPr>
            <w:r>
              <w:rPr>
                <w:rFonts w:ascii="Times New Roman" w:eastAsia="SimSun"/>
                <w:b w:val="false"/>
                <w:bCs w:val="false"/>
                <w:color w:val="000000"/>
                <w:sz w:val="18"/>
                <w:szCs w:val="18"/>
              </w:rPr>
              <w:t xml:space="preserve">TMLR</w:t>
            </w:r>
          </w:p>
        </w:tc>
        <w:tc>
          <w:tcPr>
            <w:tcW w:type="pct" w:w="1000"/>
            <w:tcMar>
              <w:top w:type="dxa" w:w="70"/>
              <w:left w:type="dxa" w:w="100"/>
              <w:bottom w:type="dxa" w:w="70"/>
              <w:right w:type="dxa" w:w="100"/>
            </w:tcMar>
          </w:tcPr>
          <w:p>
            <w:pPr>
              <w:spacing w:line="264"/>
              <w:jc w:val="left"/>
            </w:pPr>
            <w:r>
              <w:rPr>
                <w:rFonts w:ascii="Times New Roman" w:eastAsia="SimSun"/>
                <w:b w:val="false"/>
                <w:bCs w:val="false"/>
                <w:color w:val="000000"/>
                <w:sz w:val="18"/>
                <w:szCs w:val="18"/>
              </w:rPr>
              <w:t xml:space="preserve">论文重定位为受控实证研究；双盲；开放评审</w:t>
            </w:r>
          </w:p>
        </w:tc>
        <w:tc>
          <w:tcPr>
            <w:tcW w:type="pct" w:w="1900"/>
            <w:tcMar>
              <w:top w:type="dxa" w:w="70"/>
              <w:left w:type="dxa" w:w="100"/>
              <w:bottom w:type="dxa" w:w="70"/>
              <w:right w:type="dxa" w:w="100"/>
            </w:tcMar>
          </w:tcPr>
          <w:p>
            <w:pPr>
              <w:spacing w:line="264"/>
              <w:jc w:val="left"/>
            </w:pPr>
            <w:r>
              <w:rPr>
                <w:rFonts w:ascii="Times New Roman" w:eastAsia="SimSun"/>
                <w:b w:val="false"/>
                <w:bCs w:val="false"/>
                <w:color w:val="000000"/>
                <w:sz w:val="18"/>
                <w:szCs w:val="18"/>
              </w:rPr>
              <w:t xml:space="preserve">已核验官方录取标准：新颖性非必要、明确避免以不新颖为由拒稿；同时载有全 AI 生成论文难以满足兴趣标准的条款（详见 9.1）</w:t>
            </w:r>
          </w:p>
        </w:tc>
      </w:tr>
      <w:tr>
        <w:trPr>
          <w:cantSplit/>
        </w:trPr>
        <w:tc>
          <w:tcPr>
            <w:tcW w:type="pct" w:w="1000"/>
            <w:shd w:fill="F2F6F5" w:val="clear"/>
            <w:tcMar>
              <w:top w:type="dxa" w:w="70"/>
              <w:left w:type="dxa" w:w="100"/>
              <w:bottom w:type="dxa" w:w="70"/>
              <w:right w:type="dxa" w:w="100"/>
            </w:tcMar>
          </w:tcPr>
          <w:p>
            <w:pPr>
              <w:spacing w:line="264"/>
              <w:jc w:val="left"/>
            </w:pPr>
            <w:r>
              <w:rPr>
                <w:rFonts w:ascii="Times New Roman" w:eastAsia="SimSun"/>
                <w:b w:val="false"/>
                <w:bCs w:val="false"/>
                <w:color w:val="000000"/>
                <w:sz w:val="18"/>
                <w:szCs w:val="18"/>
              </w:rPr>
              <w:t xml:space="preserve">扎实实证比较可发的中等期刊</w:t>
            </w:r>
          </w:p>
        </w:tc>
        <w:tc>
          <w:tcPr>
            <w:tcW w:type="pct" w:w="1100"/>
            <w:shd w:fill="F2F6F5" w:val="clear"/>
            <w:tcMar>
              <w:top w:type="dxa" w:w="70"/>
              <w:left w:type="dxa" w:w="100"/>
              <w:bottom w:type="dxa" w:w="70"/>
              <w:right w:type="dxa" w:w="100"/>
            </w:tcMar>
          </w:tcPr>
          <w:p>
            <w:pPr>
              <w:spacing w:line="264"/>
              <w:jc w:val="left"/>
            </w:pPr>
            <w:r>
              <w:rPr>
                <w:rFonts w:ascii="Times New Roman" w:eastAsia="SimSun"/>
                <w:b w:val="false"/>
                <w:bCs w:val="false"/>
                <w:color w:val="000000"/>
                <w:sz w:val="18"/>
                <w:szCs w:val="18"/>
              </w:rPr>
              <w:t xml:space="preserve">Machine Learning (Springer)；Neurocomputing (Elsevier)；Neural Computing and Applications (Springer)</w:t>
            </w:r>
          </w:p>
        </w:tc>
        <w:tc>
          <w:tcPr>
            <w:tcW w:type="pct" w:w="1000"/>
            <w:shd w:fill="F2F6F5" w:val="clear"/>
            <w:tcMar>
              <w:top w:type="dxa" w:w="70"/>
              <w:left w:type="dxa" w:w="100"/>
              <w:bottom w:type="dxa" w:w="70"/>
              <w:right w:type="dxa" w:w="100"/>
            </w:tcMar>
          </w:tcPr>
          <w:p>
            <w:pPr>
              <w:spacing w:line="264"/>
              <w:jc w:val="left"/>
            </w:pPr>
            <w:r>
              <w:rPr>
                <w:rFonts w:ascii="Times New Roman" w:eastAsia="SimSun"/>
                <w:b w:val="false"/>
                <w:bCs w:val="false"/>
                <w:color w:val="000000"/>
                <w:sz w:val="18"/>
                <w:szCs w:val="18"/>
              </w:rPr>
              <w:t xml:space="preserve">需要比 TMLR 更强的规律性结果（方案 B 成功后）</w:t>
            </w:r>
          </w:p>
        </w:tc>
        <w:tc>
          <w:tcPr>
            <w:tcW w:type="pct" w:w="1900"/>
            <w:shd w:fill="F2F6F5" w:val="clear"/>
            <w:tcMar>
              <w:top w:type="dxa" w:w="70"/>
              <w:left w:type="dxa" w:w="100"/>
              <w:bottom w:type="dxa" w:w="70"/>
              <w:right w:type="dxa" w:w="100"/>
            </w:tcMar>
          </w:tcPr>
          <w:p>
            <w:pPr>
              <w:spacing w:line="264"/>
              <w:jc w:val="left"/>
            </w:pPr>
            <w:r>
              <w:rPr>
                <w:rFonts w:ascii="Times New Roman" w:eastAsia="SimSun"/>
                <w:b w:val="false"/>
                <w:bCs w:val="false"/>
                <w:color w:val="000000"/>
                <w:sz w:val="18"/>
                <w:szCs w:val="18"/>
              </w:rPr>
              <w:t xml:space="preserve">Neurocomputing 范围已核验（欢迎对神经网络与学习系统的理论理解类贡献）；ML/NCA 范围待逐刊核对；三者均为订阅制可免费发表（待投稿时确认）</w:t>
            </w:r>
          </w:p>
        </w:tc>
      </w:tr>
      <w:tr>
        <w:trPr>
          <w:cantSplit/>
        </w:trPr>
        <w:tc>
          <w:tcPr>
            <w:tcW w:type="pct" w:w="1000"/>
            <w:tcMar>
              <w:top w:type="dxa" w:w="70"/>
              <w:left w:type="dxa" w:w="100"/>
              <w:bottom w:type="dxa" w:w="70"/>
              <w:right w:type="dxa" w:w="100"/>
            </w:tcMar>
          </w:tcPr>
          <w:p>
            <w:pPr>
              <w:spacing w:line="264"/>
              <w:jc w:val="left"/>
            </w:pPr>
            <w:r>
              <w:rPr>
                <w:rFonts w:ascii="Times New Roman" w:eastAsia="SimSun"/>
                <w:b w:val="false"/>
                <w:bCs w:val="false"/>
                <w:color w:val="000000"/>
                <w:sz w:val="18"/>
                <w:szCs w:val="18"/>
              </w:rPr>
              <w:t xml:space="preserve">应用/开放获取通道</w:t>
            </w:r>
          </w:p>
        </w:tc>
        <w:tc>
          <w:tcPr>
            <w:tcW w:type="pct" w:w="1100"/>
            <w:tcMar>
              <w:top w:type="dxa" w:w="70"/>
              <w:left w:type="dxa" w:w="100"/>
              <w:bottom w:type="dxa" w:w="70"/>
              <w:right w:type="dxa" w:w="100"/>
            </w:tcMar>
          </w:tcPr>
          <w:p>
            <w:pPr>
              <w:spacing w:line="264"/>
              <w:jc w:val="left"/>
            </w:pPr>
            <w:r>
              <w:rPr>
                <w:rFonts w:ascii="Times New Roman" w:eastAsia="SimSun"/>
                <w:b w:val="false"/>
                <w:bCs w:val="false"/>
                <w:color w:val="000000"/>
                <w:sz w:val="18"/>
                <w:szCs w:val="18"/>
              </w:rPr>
              <w:t xml:space="preserve">IEEE Access；PLOS ONE</w:t>
            </w:r>
          </w:p>
        </w:tc>
        <w:tc>
          <w:tcPr>
            <w:tcW w:type="pct" w:w="1000"/>
            <w:tcMar>
              <w:top w:type="dxa" w:w="70"/>
              <w:left w:type="dxa" w:w="100"/>
              <w:bottom w:type="dxa" w:w="70"/>
              <w:right w:type="dxa" w:w="100"/>
            </w:tcMar>
          </w:tcPr>
          <w:p>
            <w:pPr>
              <w:spacing w:line="264"/>
              <w:jc w:val="left"/>
            </w:pPr>
            <w:r>
              <w:rPr>
                <w:rFonts w:ascii="Times New Roman" w:eastAsia="SimSun"/>
                <w:b w:val="false"/>
                <w:bCs w:val="false"/>
                <w:color w:val="000000"/>
                <w:sz w:val="18"/>
                <w:szCs w:val="18"/>
              </w:rPr>
              <w:t xml:space="preserve">以正确性与完整性为准的最终出口</w:t>
            </w:r>
          </w:p>
        </w:tc>
        <w:tc>
          <w:tcPr>
            <w:tcW w:type="pct" w:w="1900"/>
            <w:tcMar>
              <w:top w:type="dxa" w:w="70"/>
              <w:left w:type="dxa" w:w="100"/>
              <w:bottom w:type="dxa" w:w="70"/>
              <w:right w:type="dxa" w:w="100"/>
            </w:tcMar>
          </w:tcPr>
          <w:p>
            <w:pPr>
              <w:spacing w:line="264"/>
              <w:jc w:val="left"/>
            </w:pPr>
            <w:r>
              <w:rPr>
                <w:rFonts w:ascii="Times New Roman" w:eastAsia="SimSun"/>
                <w:b w:val="false"/>
                <w:bCs w:val="false"/>
                <w:color w:val="000000"/>
                <w:sz w:val="18"/>
                <w:szCs w:val="18"/>
              </w:rPr>
              <w:t xml:space="preserve">PLOS ONE 以科学严谨性为标准的定位与其官方说明一致（细节待核）；IEEE Access 有 APC（约 1,995 美元量级，以官网现价为准）；两者均应在 TMLR 之后再考虑</w:t>
            </w:r>
          </w:p>
        </w:tc>
      </w:tr>
      <w:tr>
        <w:trPr>
          <w:cantSplit/>
        </w:trPr>
        <w:tc>
          <w:tcPr>
            <w:tcW w:type="pct" w:w="1000"/>
            <w:shd w:fill="F2F6F5" w:val="clear"/>
            <w:tcMar>
              <w:top w:type="dxa" w:w="70"/>
              <w:left w:type="dxa" w:w="100"/>
              <w:bottom w:type="dxa" w:w="70"/>
              <w:right w:type="dxa" w:w="100"/>
            </w:tcMar>
          </w:tcPr>
          <w:p>
            <w:pPr>
              <w:spacing w:line="264"/>
              <w:jc w:val="left"/>
            </w:pPr>
            <w:r>
              <w:rPr>
                <w:rFonts w:ascii="Times New Roman" w:eastAsia="SimSun"/>
                <w:b w:val="false"/>
                <w:bCs w:val="false"/>
                <w:color w:val="000000"/>
                <w:sz w:val="18"/>
                <w:szCs w:val="18"/>
              </w:rPr>
              <w:t xml:space="preserve">方法创新期刊（仅方案 C）</w:t>
            </w:r>
          </w:p>
        </w:tc>
        <w:tc>
          <w:tcPr>
            <w:tcW w:type="pct" w:w="1100"/>
            <w:shd w:fill="F2F6F5" w:val="clear"/>
            <w:tcMar>
              <w:top w:type="dxa" w:w="70"/>
              <w:left w:type="dxa" w:w="100"/>
              <w:bottom w:type="dxa" w:w="70"/>
              <w:right w:type="dxa" w:w="100"/>
            </w:tcMar>
          </w:tcPr>
          <w:p>
            <w:pPr>
              <w:spacing w:line="264"/>
              <w:jc w:val="left"/>
            </w:pPr>
            <w:r>
              <w:rPr>
                <w:rFonts w:ascii="Times New Roman" w:eastAsia="SimSun"/>
                <w:b w:val="false"/>
                <w:bCs w:val="false"/>
                <w:color w:val="000000"/>
                <w:sz w:val="18"/>
                <w:szCs w:val="18"/>
              </w:rPr>
              <w:t xml:space="preserve">IJMLC 重投；Neural Networks；会议（AISTATS/ICLR）</w:t>
            </w:r>
          </w:p>
        </w:tc>
        <w:tc>
          <w:tcPr>
            <w:tcW w:type="pct" w:w="1000"/>
            <w:shd w:fill="F2F6F5" w:val="clear"/>
            <w:tcMar>
              <w:top w:type="dxa" w:w="70"/>
              <w:left w:type="dxa" w:w="100"/>
              <w:bottom w:type="dxa" w:w="70"/>
              <w:right w:type="dxa" w:w="100"/>
            </w:tcMar>
          </w:tcPr>
          <w:p>
            <w:pPr>
              <w:spacing w:line="264"/>
              <w:jc w:val="left"/>
            </w:pPr>
            <w:r>
              <w:rPr>
                <w:rFonts w:ascii="Times New Roman" w:eastAsia="SimSun"/>
                <w:b w:val="false"/>
                <w:bCs w:val="false"/>
                <w:color w:val="000000"/>
                <w:sz w:val="18"/>
                <w:szCs w:val="18"/>
              </w:rPr>
              <w:t xml:space="preserve">仅当校准感知分配算法被验证有效且规模化</w:t>
            </w:r>
          </w:p>
        </w:tc>
        <w:tc>
          <w:tcPr>
            <w:tcW w:type="pct" w:w="1900"/>
            <w:shd w:fill="F2F6F5" w:val="clear"/>
            <w:tcMar>
              <w:top w:type="dxa" w:w="70"/>
              <w:left w:type="dxa" w:w="100"/>
              <w:bottom w:type="dxa" w:w="70"/>
              <w:right w:type="dxa" w:w="100"/>
            </w:tcMar>
          </w:tcPr>
          <w:p>
            <w:pPr>
              <w:spacing w:line="264"/>
              <w:jc w:val="left"/>
            </w:pPr>
            <w:r>
              <w:rPr>
                <w:rFonts w:ascii="Times New Roman" w:eastAsia="SimSun"/>
                <w:b w:val="false"/>
                <w:bCs w:val="false"/>
                <w:color w:val="000000"/>
                <w:sz w:val="18"/>
                <w:szCs w:val="18"/>
              </w:rPr>
              <w:t xml:space="preserve">IJMLC 本次拒稿期刊，重投需实质新贡献；其余需方案 C 完成后再议</w:t>
            </w:r>
          </w:p>
        </w:tc>
      </w:tr>
    </w:tbl>
    <w:p>
      <w:pPr>
        <w:pStyle w:val="Heading2"/>
        <w:spacing w:after="120" w:before="260" w:line="350" w:lineRule="atLeast"/>
      </w:pPr>
      <w:bookmarkStart w:name="_Toc32" w:id="32"/>
      <w:r>
        <w:rPr>
          <w:rFonts w:ascii="Times New Roman" w:eastAsia="SimHei"/>
          <w:b/>
          <w:bCs/>
          <w:color w:val="0B1C2C"/>
          <w:sz w:val="28"/>
          <w:szCs w:val="28"/>
        </w:rPr>
        <w:t xml:space="preserve">9.1 TMLR 特别注意事项</w:t>
      </w:r>
      <w:bookmarkEnd w:id="32"/>
    </w:p>
    <w:p>
      <w:pPr>
        <w:keepNext w:val="false"/>
        <w:spacing w:after="80" w:line="312"/>
        <w:ind w:firstLine="480"/>
        <w:jc w:val="both"/>
      </w:pPr>
      <w:r>
        <w:rPr>
          <w:rFonts w:ascii="Times New Roman" w:eastAsia="SimSun"/>
          <w:b w:val="false"/>
          <w:bCs w:val="false"/>
          <w:color w:val="000000"/>
          <w:sz w:val="24"/>
          <w:szCs w:val="24"/>
        </w:rPr>
        <w:t xml:space="preserve">TMLR 是本论文当前形态最匹配的期刊，其官方录取标准（2026-10-19 核验）只有两条：主张是否有准确且令人信服的证据支持；是否有一定受众感兴趣且表达清晰。标准明确写了不应以不够新颖或不够重要为由拒稿，且系统性研究已发表方法的稳健性并给出可操作结论的稿件可以满足兴趣标准——这几乎是为重定位后的本论文写的描述。但有四点必须如实处理。第一，双盲：投稿版需匿名化（仓库链接与致谢处理）。第二，TMLR 是开放评审，所有往来公开。第三，费用：官网未列出任何发表费（历史上为免费发表、钻石开放获取），投稿时再确认。第四，也是最实质的：其兴趣标准原文载明完全由 AI 生成而人类参与极少的论文不太可能满足该标准。本论文的工作流为作者主导研究设计与核验、大语言模型辅助执行大量代码分析与初稿——作者必须在投稿时按 TMLR 的政策如实陈述这一参与方式并自行判断其披露口径；这既是合规问题也是现实的审稿风险点，本报告不替作者作此决定，但明确提示：隐瞒不是可选项，表述方式由作者决定并承担责任。</w:t>
      </w:r>
    </w:p>
    <w:p>
      <w:pPr>
        <w:pStyle w:val="Heading1"/>
        <w:spacing w:after="160" w:before="360" w:line="380" w:lineRule="atLeast"/>
      </w:pPr>
      <w:bookmarkStart w:name="_Toc33" w:id="33"/>
      <w:r>
        <w:rPr>
          <w:rFonts w:ascii="Times New Roman" w:eastAsia="SimHei"/>
          <w:b/>
          <w:bCs/>
          <w:color w:val="0B1C2C"/>
          <w:sz w:val="32"/>
          <w:szCs w:val="32"/>
        </w:rPr>
        <w:t xml:space="preserve">结语：对最终问题的明确回答</w:t>
      </w:r>
      <w:bookmarkEnd w:id="33"/>
    </w:p>
    <w:p>
      <w:pPr>
        <w:keepNext w:val="false"/>
        <w:spacing w:after="80" w:line="312"/>
        <w:ind w:firstLine="480"/>
        <w:jc w:val="both"/>
      </w:pPr>
      <w:r>
        <w:rPr>
          <w:rFonts w:ascii="Times New Roman" w:eastAsia="SimSun"/>
          <w:b w:val="false"/>
          <w:bCs w:val="false"/>
          <w:color w:val="000000"/>
          <w:sz w:val="24"/>
          <w:szCs w:val="24"/>
        </w:rPr>
        <w:t xml:space="preserve">问题：如果不新增任何实质性科学贡献，仅对现有稿件润色并转投，是否值得？</w:t>
      </w:r>
    </w:p>
    <w:p>
      <w:pPr>
        <w:keepNext w:val="false"/>
        <w:spacing w:after="80" w:line="312"/>
        <w:ind w:firstLine="480"/>
        <w:jc w:val="both"/>
      </w:pPr>
      <w:r>
        <w:rPr>
          <w:rFonts w:ascii="Times New Roman" w:eastAsia="SimSun"/>
          <w:b/>
          <w:bCs/>
          <w:color w:val="000000"/>
          <w:sz w:val="24"/>
          <w:szCs w:val="24"/>
        </w:rPr>
        <w:t xml:space="preserve">回答：对绝大多数期刊，不值得。</w:t>
      </w:r>
      <w:r>
        <w:rPr>
          <w:rFonts w:ascii="Times New Roman" w:eastAsia="SimSun"/>
          <w:b w:val="false"/>
          <w:bCs w:val="false"/>
          <w:color w:val="000000"/>
          <w:sz w:val="24"/>
          <w:szCs w:val="24"/>
        </w:rPr>
        <w:t xml:space="preserve">三个理由。其一，拒稿理由是编辑对内容原创性的判断，不是对文字质量的判断；润色不改变初筛模式匹配的任何输入（标题句式、摘要结构、自我定位、实验规模），同样的拒稿信可以预期再次到来。其二，每一轮初筛周期四到十周，连续同因拒稿不产生任何可学习的信号，且多数投稿系统要求申报被拒历史，累计的是记录而非进展。其三，论文的科学价值密度是固定的：把它反复投向以新颖性为门槛的期刊，只是在用时间验证一个已经由本次拒稿给出的答案。</w:t>
      </w:r>
    </w:p>
    <w:p>
      <w:pPr>
        <w:keepNext w:val="false"/>
        <w:spacing w:after="80" w:line="312"/>
        <w:ind w:firstLine="480"/>
        <w:jc w:val="both"/>
      </w:pPr>
      <w:r>
        <w:rPr>
          <w:rFonts w:ascii="Times New Roman" w:eastAsia="SimSun"/>
          <w:b/>
          <w:bCs/>
          <w:color w:val="000000"/>
          <w:sz w:val="24"/>
          <w:szCs w:val="24"/>
        </w:rPr>
        <w:t xml:space="preserve">两个例外。</w:t>
      </w:r>
      <w:r>
        <w:rPr>
          <w:rFonts w:ascii="Times New Roman" w:eastAsia="SimSun"/>
          <w:b w:val="false"/>
          <w:bCs w:val="false"/>
          <w:color w:val="000000"/>
          <w:sz w:val="24"/>
          <w:szCs w:val="24"/>
        </w:rPr>
        <w:t xml:space="preserve">例外一是 TMLR：它的录取标准不以新颖性为门槛，本论文以受控实证研究的身份重定位后是合格的候选——但那不是润色，而是重写标题、摘要、定位与贡献结构的重定位工作，且须按其政策如实处理大语言模型参与的披露。例外二是方案 B 失败后的保底场景：若 k 扫描显示平坦，论文以决策规则形态完成一次 TMLR 投稿即停止迭代。</w:t>
      </w:r>
    </w:p>
    <w:p>
      <w:pPr>
        <w:keepNext w:val="false"/>
        <w:spacing w:after="80" w:line="312"/>
        <w:ind w:firstLine="480"/>
        <w:jc w:val="both"/>
      </w:pPr>
      <w:r>
        <w:rPr>
          <w:rFonts w:ascii="Times New Roman" w:eastAsia="SimSun"/>
          <w:b/>
          <w:bCs/>
          <w:color w:val="000000"/>
          <w:sz w:val="24"/>
          <w:szCs w:val="24"/>
        </w:rPr>
        <w:t xml:space="preserve">更优路径是方案 B：</w:t>
      </w:r>
      <w:r>
        <w:rPr>
          <w:rFonts w:ascii="Times New Roman" w:eastAsia="SimSun"/>
          <w:b w:val="false"/>
          <w:bCs w:val="false"/>
          <w:color w:val="000000"/>
          <w:sz w:val="24"/>
          <w:szCs w:val="24"/>
        </w:rPr>
        <w:t xml:space="preserve">用约四周时间和纯 CPU 的边际成本，把论文最接近可检验规律的预算放大元素扩成 k*(B) 分配规律加决策规则，使头牌主张从领域共识换成新的经验规律。这既改变初筛的模式匹配结果，也改变送审后的辩论焦点——从它是否重要转向规律是否成立，而后者是这篇论文的强项。</w:t>
      </w:r>
    </w:p>
    <w:p>
      <w:pPr>
        <w:pStyle w:val="Heading1"/>
        <w:spacing w:after="160" w:before="360" w:line="380" w:lineRule="atLeast"/>
      </w:pPr>
      <w:bookmarkStart w:name="_Toc34" w:id="34"/>
      <w:r>
        <w:rPr>
          <w:rFonts w:ascii="Times New Roman" w:eastAsia="SimHei"/>
          <w:b/>
          <w:bCs/>
          <w:color w:val="0B1C2C"/>
          <w:sz w:val="32"/>
          <w:szCs w:val="32"/>
        </w:rPr>
        <w:t xml:space="preserve">附录 可核验性记录</w:t>
      </w:r>
      <w:bookmarkEnd w:id="34"/>
    </w:p>
    <w:p>
      <w:pPr>
        <w:keepNext w:val="false"/>
        <w:spacing w:after="80" w:line="312"/>
        <w:ind w:firstLine="480"/>
        <w:jc w:val="both"/>
      </w:pPr>
      <w:r>
        <w:rPr>
          <w:rFonts w:ascii="Times New Roman" w:eastAsia="SimSun"/>
          <w:b w:val="false"/>
          <w:bCs w:val="false"/>
          <w:color w:val="000000"/>
          <w:sz w:val="24"/>
          <w:szCs w:val="24"/>
        </w:rPr>
        <w:t xml:space="preserve">本报告的每个事实性陈述可由以下材料复核。审计时间：2026-10-19（Asia/Shanghai）。论文版本基线：v4.1.2（仓库 main 分支 1bc7f61，release paper-v4.1.2）。</w:t>
      </w:r>
    </w:p>
    <w:p>
      <w:pPr>
        <w:keepNext/>
        <w:spacing w:after="100" w:before="160" w:line="280"/>
        <w:jc w:val="center"/>
      </w:pPr>
      <w:r>
        <w:rPr>
          <w:rFonts w:ascii="Times New Roman" w:eastAsia="SimHei"/>
          <w:b/>
          <w:bCs/>
          <w:color w:val="404040"/>
          <w:sz w:val="21"/>
          <w:szCs w:val="21"/>
        </w:rPr>
        <w:t xml:space="preserve">表 A-1 核验材料索引</w:t>
      </w:r>
    </w:p>
    <w:tbl>
      <w:tblPr>
        <w:tblW w:type="pct" w:w="5000"/>
        <w:tblBorders>
          <w:top w:val="single" w:color="529286" w:sz="6"/>
          <w:left w:val="none" w:color="FFFFFF" w:sz="0"/>
          <w:bottom w:val="single" w:color="529286" w:sz="6"/>
          <w:right w:val="none" w:color="FFFFFF" w:sz="0"/>
          <w:insideH w:val="single" w:color="C8D4D0" w:sz="2"/>
          <w:insideV w:val="none" w:color="FFFFFF" w:sz="0"/>
        </w:tblBorders>
      </w:tblPr>
      <w:tblGrid>
        <w:gridCol w:w="2285"/>
        <w:gridCol w:w="3867"/>
        <w:gridCol w:w="2636"/>
      </w:tblGrid>
      <w:tr>
        <w:trPr>
          <w:cantSplit/>
          <w:tblHeader/>
        </w:trPr>
        <w:tc>
          <w:tcPr>
            <w:tcW w:type="pct" w:w="1300"/>
            <w:shd w:fill="529286" w:val="clear"/>
            <w:tcMar>
              <w:top w:type="dxa" w:w="70"/>
              <w:left w:type="dxa" w:w="100"/>
              <w:bottom w:type="dxa" w:w="70"/>
              <w:right w:type="dxa" w:w="100"/>
            </w:tcMar>
          </w:tcPr>
          <w:p>
            <w:pPr>
              <w:spacing w:line="260"/>
              <w:jc w:val="center"/>
            </w:pPr>
            <w:r>
              <w:rPr>
                <w:rFonts w:ascii="Times New Roman" w:eastAsia="SimHei"/>
                <w:b/>
                <w:bCs/>
                <w:color w:val="FFFFFF"/>
                <w:sz w:val="18"/>
                <w:szCs w:val="18"/>
              </w:rPr>
              <w:t xml:space="preserve">材料</w:t>
            </w:r>
          </w:p>
        </w:tc>
        <w:tc>
          <w:tcPr>
            <w:tcW w:type="pct" w:w="2200"/>
            <w:shd w:fill="529286" w:val="clear"/>
            <w:tcMar>
              <w:top w:type="dxa" w:w="70"/>
              <w:left w:type="dxa" w:w="100"/>
              <w:bottom w:type="dxa" w:w="70"/>
              <w:right w:type="dxa" w:w="100"/>
            </w:tcMar>
          </w:tcPr>
          <w:p>
            <w:pPr>
              <w:spacing w:line="260"/>
              <w:jc w:val="center"/>
            </w:pPr>
            <w:r>
              <w:rPr>
                <w:rFonts w:ascii="Times New Roman" w:eastAsia="SimHei"/>
                <w:b/>
                <w:bCs/>
                <w:color w:val="FFFFFF"/>
                <w:sz w:val="18"/>
                <w:szCs w:val="18"/>
              </w:rPr>
              <w:t xml:space="preserve">位置</w:t>
            </w:r>
          </w:p>
        </w:tc>
        <w:tc>
          <w:tcPr>
            <w:tcW w:type="pct" w:w="1500"/>
            <w:shd w:fill="529286" w:val="clear"/>
            <w:tcMar>
              <w:top w:type="dxa" w:w="70"/>
              <w:left w:type="dxa" w:w="100"/>
              <w:bottom w:type="dxa" w:w="70"/>
              <w:right w:type="dxa" w:w="100"/>
            </w:tcMar>
          </w:tcPr>
          <w:p>
            <w:pPr>
              <w:spacing w:line="260"/>
              <w:jc w:val="center"/>
            </w:pPr>
            <w:r>
              <w:rPr>
                <w:rFonts w:ascii="Times New Roman" w:eastAsia="SimHei"/>
                <w:b/>
                <w:bCs/>
                <w:color w:val="FFFFFF"/>
                <w:sz w:val="18"/>
                <w:szCs w:val="18"/>
              </w:rPr>
              <w:t xml:space="preserve">用途</w:t>
            </w:r>
          </w:p>
        </w:tc>
      </w:tr>
      <w:tr>
        <w:trPr>
          <w:cantSplit/>
        </w:trPr>
        <w:tc>
          <w:tcPr>
            <w:tcW w:type="pct" w:w="1300"/>
            <w:tcMar>
              <w:top w:type="dxa" w:w="70"/>
              <w:left w:type="dxa" w:w="100"/>
              <w:bottom w:type="dxa" w:w="70"/>
              <w:right w:type="dxa" w:w="100"/>
            </w:tcMar>
          </w:tcPr>
          <w:p>
            <w:pPr>
              <w:spacing w:line="264"/>
              <w:jc w:val="left"/>
            </w:pPr>
            <w:r>
              <w:rPr>
                <w:rFonts w:ascii="Times New Roman" w:eastAsia="SimSun"/>
                <w:b w:val="false"/>
                <w:bCs w:val="false"/>
                <w:color w:val="000000"/>
                <w:sz w:val="18"/>
                <w:szCs w:val="18"/>
              </w:rPr>
              <w:t xml:space="preserve">全部逐种子原始记录</w:t>
            </w:r>
          </w:p>
        </w:tc>
        <w:tc>
          <w:tcPr>
            <w:tcW w:type="pct" w:w="2200"/>
            <w:tcMar>
              <w:top w:type="dxa" w:w="70"/>
              <w:left w:type="dxa" w:w="100"/>
              <w:bottom w:type="dxa" w:w="70"/>
              <w:right w:type="dxa" w:w="100"/>
            </w:tcMar>
          </w:tcPr>
          <w:p>
            <w:pPr>
              <w:spacing w:line="264"/>
              <w:jc w:val="left"/>
            </w:pPr>
            <w:r>
              <w:rPr>
                <w:rFonts w:ascii="Times New Roman" w:eastAsia="SimSun"/>
                <w:b w:val="false"/>
                <w:bCs w:val="false"/>
                <w:color w:val="000000"/>
                <w:sz w:val="18"/>
                <w:szCs w:val="18"/>
              </w:rPr>
              <w:t xml:space="preserve">仓库 results/*.jsonl 与 results/v2|cifar/*.jsonl</w:t>
            </w:r>
          </w:p>
        </w:tc>
        <w:tc>
          <w:tcPr>
            <w:tcW w:type="pct" w:w="1500"/>
            <w:tcMar>
              <w:top w:type="dxa" w:w="70"/>
              <w:left w:type="dxa" w:w="100"/>
              <w:bottom w:type="dxa" w:w="70"/>
              <w:right w:type="dxa" w:w="100"/>
            </w:tcMar>
          </w:tcPr>
          <w:p>
            <w:pPr>
              <w:spacing w:line="264"/>
              <w:jc w:val="left"/>
            </w:pPr>
            <w:r>
              <w:rPr>
                <w:rFonts w:ascii="Times New Roman" w:eastAsia="SimSun"/>
                <w:b w:val="false"/>
                <w:bCs w:val="false"/>
                <w:color w:val="000000"/>
                <w:sz w:val="18"/>
                <w:szCs w:val="18"/>
              </w:rPr>
              <w:t xml:space="preserve">本报告第一章全部数值的来源</w:t>
            </w:r>
          </w:p>
        </w:tc>
      </w:tr>
      <w:tr>
        <w:trPr>
          <w:cantSplit/>
        </w:trPr>
        <w:tc>
          <w:tcPr>
            <w:tcW w:type="pct" w:w="1300"/>
            <w:shd w:fill="F2F6F5" w:val="clear"/>
            <w:tcMar>
              <w:top w:type="dxa" w:w="70"/>
              <w:left w:type="dxa" w:w="100"/>
              <w:bottom w:type="dxa" w:w="70"/>
              <w:right w:type="dxa" w:w="100"/>
            </w:tcMar>
          </w:tcPr>
          <w:p>
            <w:pPr>
              <w:spacing w:line="264"/>
              <w:jc w:val="left"/>
            </w:pPr>
            <w:r>
              <w:rPr>
                <w:rFonts w:ascii="Times New Roman" w:eastAsia="SimSun"/>
                <w:b w:val="false"/>
                <w:bCs w:val="false"/>
                <w:color w:val="000000"/>
                <w:sz w:val="18"/>
                <w:szCs w:val="18"/>
              </w:rPr>
              <w:t xml:space="preserve">预注册统计设计</w:t>
            </w:r>
          </w:p>
        </w:tc>
        <w:tc>
          <w:tcPr>
            <w:tcW w:type="pct" w:w="2200"/>
            <w:shd w:fill="F2F6F5" w:val="clear"/>
            <w:tcMar>
              <w:top w:type="dxa" w:w="70"/>
              <w:left w:type="dxa" w:w="100"/>
              <w:bottom w:type="dxa" w:w="70"/>
              <w:right w:type="dxa" w:w="100"/>
            </w:tcMar>
          </w:tcPr>
          <w:p>
            <w:pPr>
              <w:spacing w:line="264"/>
              <w:jc w:val="left"/>
            </w:pPr>
            <w:r>
              <w:rPr>
                <w:rFonts w:ascii="Times New Roman" w:eastAsia="SimSun"/>
                <w:b w:val="false"/>
                <w:bCs w:val="false"/>
                <w:color w:val="000000"/>
                <w:sz w:val="18"/>
                <w:szCs w:val="18"/>
              </w:rPr>
              <w:t xml:space="preserve">research-docs/research-design.md</w:t>
            </w:r>
          </w:p>
        </w:tc>
        <w:tc>
          <w:tcPr>
            <w:tcW w:type="pct" w:w="1500"/>
            <w:shd w:fill="F2F6F5" w:val="clear"/>
            <w:tcMar>
              <w:top w:type="dxa" w:w="70"/>
              <w:left w:type="dxa" w:w="100"/>
              <w:bottom w:type="dxa" w:w="70"/>
              <w:right w:type="dxa" w:w="100"/>
            </w:tcMar>
          </w:tcPr>
          <w:p>
            <w:pPr>
              <w:spacing w:line="264"/>
              <w:jc w:val="left"/>
            </w:pPr>
            <w:r>
              <w:rPr>
                <w:rFonts w:ascii="Times New Roman" w:eastAsia="SimSun"/>
                <w:b w:val="false"/>
                <w:bCs w:val="false"/>
                <w:color w:val="000000"/>
                <w:sz w:val="18"/>
                <w:szCs w:val="18"/>
              </w:rPr>
              <w:t xml:space="preserve">确认性与探索性分析的边界</w:t>
            </w:r>
          </w:p>
        </w:tc>
      </w:tr>
      <w:tr>
        <w:trPr>
          <w:cantSplit/>
        </w:trPr>
        <w:tc>
          <w:tcPr>
            <w:tcW w:type="pct" w:w="1300"/>
            <w:tcMar>
              <w:top w:type="dxa" w:w="70"/>
              <w:left w:type="dxa" w:w="100"/>
              <w:bottom w:type="dxa" w:w="70"/>
              <w:right w:type="dxa" w:w="100"/>
            </w:tcMar>
          </w:tcPr>
          <w:p>
            <w:pPr>
              <w:spacing w:line="264"/>
              <w:jc w:val="left"/>
            </w:pPr>
            <w:r>
              <w:rPr>
                <w:rFonts w:ascii="Times New Roman" w:eastAsia="SimSun"/>
                <w:b w:val="false"/>
                <w:bCs w:val="false"/>
                <w:color w:val="000000"/>
                <w:sz w:val="18"/>
                <w:szCs w:val="18"/>
              </w:rPr>
              <w:t xml:space="preserve">历史数值核验与例外处置</w:t>
            </w:r>
          </w:p>
        </w:tc>
        <w:tc>
          <w:tcPr>
            <w:tcW w:type="pct" w:w="2200"/>
            <w:tcMar>
              <w:top w:type="dxa" w:w="70"/>
              <w:left w:type="dxa" w:w="100"/>
              <w:bottom w:type="dxa" w:w="70"/>
              <w:right w:type="dxa" w:w="100"/>
            </w:tcMar>
          </w:tcPr>
          <w:p>
            <w:pPr>
              <w:spacing w:line="264"/>
              <w:jc w:val="left"/>
            </w:pPr>
            <w:r>
              <w:rPr>
                <w:rFonts w:ascii="Times New Roman" w:eastAsia="SimSun"/>
                <w:b w:val="false"/>
                <w:bCs w:val="false"/>
                <w:color w:val="000000"/>
                <w:sz w:val="18"/>
                <w:szCs w:val="18"/>
              </w:rPr>
              <w:t xml:space="preserve">research-docs/number-verification-v4.1.md；claim-evidence-matrix-v4.1.md</w:t>
            </w:r>
          </w:p>
        </w:tc>
        <w:tc>
          <w:tcPr>
            <w:tcW w:type="pct" w:w="1500"/>
            <w:tcMar>
              <w:top w:type="dxa" w:w="70"/>
              <w:left w:type="dxa" w:w="100"/>
              <w:bottom w:type="dxa" w:w="70"/>
              <w:right w:type="dxa" w:w="100"/>
            </w:tcMar>
          </w:tcPr>
          <w:p>
            <w:pPr>
              <w:spacing w:line="264"/>
              <w:jc w:val="left"/>
            </w:pPr>
            <w:r>
              <w:rPr>
                <w:rFonts w:ascii="Times New Roman" w:eastAsia="SimSun"/>
                <w:b w:val="false"/>
                <w:bCs w:val="false"/>
                <w:color w:val="000000"/>
                <w:sz w:val="18"/>
                <w:szCs w:val="18"/>
              </w:rPr>
              <w:t xml:space="preserve">241 项核验、9 项例外、主张-证据绑定</w:t>
            </w:r>
          </w:p>
        </w:tc>
      </w:tr>
      <w:tr>
        <w:trPr>
          <w:cantSplit/>
        </w:trPr>
        <w:tc>
          <w:tcPr>
            <w:tcW w:type="pct" w:w="1300"/>
            <w:shd w:fill="F2F6F5" w:val="clear"/>
            <w:tcMar>
              <w:top w:type="dxa" w:w="70"/>
              <w:left w:type="dxa" w:w="100"/>
              <w:bottom w:type="dxa" w:w="70"/>
              <w:right w:type="dxa" w:w="100"/>
            </w:tcMar>
          </w:tcPr>
          <w:p>
            <w:pPr>
              <w:spacing w:line="264"/>
              <w:jc w:val="left"/>
            </w:pPr>
            <w:r>
              <w:rPr>
                <w:rFonts w:ascii="Times New Roman" w:eastAsia="SimSun"/>
                <w:b w:val="false"/>
                <w:bCs w:val="false"/>
                <w:color w:val="000000"/>
                <w:sz w:val="18"/>
                <w:szCs w:val="18"/>
              </w:rPr>
              <w:t xml:space="preserve">定位审计（检索方法与结论）</w:t>
            </w:r>
          </w:p>
        </w:tc>
        <w:tc>
          <w:tcPr>
            <w:tcW w:type="pct" w:w="2200"/>
            <w:shd w:fill="F2F6F5" w:val="clear"/>
            <w:tcMar>
              <w:top w:type="dxa" w:w="70"/>
              <w:left w:type="dxa" w:w="100"/>
              <w:bottom w:type="dxa" w:w="70"/>
              <w:right w:type="dxa" w:w="100"/>
            </w:tcMar>
          </w:tcPr>
          <w:p>
            <w:pPr>
              <w:spacing w:line="264"/>
              <w:jc w:val="left"/>
            </w:pPr>
            <w:r>
              <w:rPr>
                <w:rFonts w:ascii="Times New Roman" w:eastAsia="SimSun"/>
                <w:b w:val="false"/>
                <w:bCs w:val="false"/>
                <w:color w:val="000000"/>
                <w:sz w:val="18"/>
                <w:szCs w:val="18"/>
              </w:rPr>
              <w:t xml:space="preserve">research-docs/literature-positioning-v4.1.md</w:t>
            </w:r>
          </w:p>
        </w:tc>
        <w:tc>
          <w:tcPr>
            <w:tcW w:type="pct" w:w="1500"/>
            <w:shd w:fill="F2F6F5" w:val="clear"/>
            <w:tcMar>
              <w:top w:type="dxa" w:w="70"/>
              <w:left w:type="dxa" w:w="100"/>
              <w:bottom w:type="dxa" w:w="70"/>
              <w:right w:type="dxa" w:w="100"/>
            </w:tcMar>
          </w:tcPr>
          <w:p>
            <w:pPr>
              <w:spacing w:line="264"/>
              <w:jc w:val="left"/>
            </w:pPr>
            <w:r>
              <w:rPr>
                <w:rFonts w:ascii="Times New Roman" w:eastAsia="SimSun"/>
                <w:b w:val="false"/>
                <w:bCs w:val="false"/>
                <w:color w:val="000000"/>
                <w:sz w:val="18"/>
                <w:szCs w:val="18"/>
              </w:rPr>
              <w:t xml:space="preserve">表 2-1 的仓库侧证据</w:t>
            </w:r>
          </w:p>
        </w:tc>
      </w:tr>
      <w:tr>
        <w:trPr>
          <w:cantSplit/>
        </w:trPr>
        <w:tc>
          <w:tcPr>
            <w:tcW w:type="pct" w:w="1300"/>
            <w:tcMar>
              <w:top w:type="dxa" w:w="70"/>
              <w:left w:type="dxa" w:w="100"/>
              <w:bottom w:type="dxa" w:w="70"/>
              <w:right w:type="dxa" w:w="100"/>
            </w:tcMar>
          </w:tcPr>
          <w:p>
            <w:pPr>
              <w:spacing w:line="264"/>
              <w:jc w:val="left"/>
            </w:pPr>
            <w:r>
              <w:rPr>
                <w:rFonts w:ascii="Times New Roman" w:eastAsia="SimSun"/>
                <w:b w:val="false"/>
                <w:bCs w:val="false"/>
                <w:color w:val="000000"/>
                <w:sz w:val="18"/>
                <w:szCs w:val="18"/>
              </w:rPr>
              <w:t xml:space="preserve">本次探索性复核脚本</w:t>
            </w:r>
          </w:p>
        </w:tc>
        <w:tc>
          <w:tcPr>
            <w:tcW w:type="pct" w:w="2200"/>
            <w:tcMar>
              <w:top w:type="dxa" w:w="70"/>
              <w:left w:type="dxa" w:w="100"/>
              <w:bottom w:type="dxa" w:w="70"/>
              <w:right w:type="dxa" w:w="100"/>
            </w:tcMar>
          </w:tcPr>
          <w:p>
            <w:pPr>
              <w:spacing w:line="264"/>
              <w:jc w:val="left"/>
            </w:pPr>
            <w:r>
              <w:rPr>
                <w:rFonts w:ascii="Times New Roman" w:eastAsia="SimSun"/>
                <w:b w:val="false"/>
                <w:bCs w:val="false"/>
                <w:color w:val="000000"/>
                <w:sz w:val="18"/>
                <w:szCs w:val="18"/>
              </w:rPr>
              <w:t xml:space="preserve">scripts/audit_explore_v1.py；audit_explore_v2.py（本审计新增）</w:t>
            </w:r>
          </w:p>
        </w:tc>
        <w:tc>
          <w:tcPr>
            <w:tcW w:type="pct" w:w="1500"/>
            <w:tcMar>
              <w:top w:type="dxa" w:w="70"/>
              <w:left w:type="dxa" w:w="100"/>
              <w:bottom w:type="dxa" w:w="70"/>
              <w:right w:type="dxa" w:w="100"/>
            </w:tcMar>
          </w:tcPr>
          <w:p>
            <w:pPr>
              <w:spacing w:line="264"/>
              <w:jc w:val="left"/>
            </w:pPr>
            <w:r>
              <w:rPr>
                <w:rFonts w:ascii="Times New Roman" w:eastAsia="SimSun"/>
                <w:b w:val="false"/>
                <w:bCs w:val="false"/>
                <w:color w:val="000000"/>
                <w:sz w:val="18"/>
                <w:szCs w:val="18"/>
              </w:rPr>
              <w:t xml:space="preserve">第一章与表 6-1 的今日复算，可直接重跑</w:t>
            </w:r>
          </w:p>
        </w:tc>
      </w:tr>
      <w:tr>
        <w:trPr>
          <w:cantSplit/>
        </w:trPr>
        <w:tc>
          <w:tcPr>
            <w:tcW w:type="pct" w:w="1300"/>
            <w:shd w:fill="F2F6F5" w:val="clear"/>
            <w:tcMar>
              <w:top w:type="dxa" w:w="70"/>
              <w:left w:type="dxa" w:w="100"/>
              <w:bottom w:type="dxa" w:w="70"/>
              <w:right w:type="dxa" w:w="100"/>
            </w:tcMar>
          </w:tcPr>
          <w:p>
            <w:pPr>
              <w:spacing w:line="264"/>
              <w:jc w:val="left"/>
            </w:pPr>
            <w:r>
              <w:rPr>
                <w:rFonts w:ascii="Times New Roman" w:eastAsia="SimSun"/>
                <w:b w:val="false"/>
                <w:bCs w:val="false"/>
                <w:color w:val="000000"/>
                <w:sz w:val="18"/>
                <w:szCs w:val="18"/>
              </w:rPr>
              <w:t xml:space="preserve">本轮独立检索</w:t>
            </w:r>
          </w:p>
        </w:tc>
        <w:tc>
          <w:tcPr>
            <w:tcW w:type="pct" w:w="2200"/>
            <w:shd w:fill="F2F6F5" w:val="clear"/>
            <w:tcMar>
              <w:top w:type="dxa" w:w="70"/>
              <w:left w:type="dxa" w:w="100"/>
              <w:bottom w:type="dxa" w:w="70"/>
              <w:right w:type="dxa" w:w="100"/>
            </w:tcMar>
          </w:tcPr>
          <w:p>
            <w:pPr>
              <w:spacing w:line="264"/>
              <w:jc w:val="left"/>
            </w:pPr>
            <w:r>
              <w:rPr>
                <w:rFonts w:ascii="Times New Roman" w:eastAsia="SimSun"/>
                <w:b w:val="false"/>
                <w:bCs w:val="false"/>
                <w:color w:val="000000"/>
                <w:sz w:val="18"/>
                <w:szCs w:val="18"/>
              </w:rPr>
              <w:t xml:space="preserve">学术检索 14 条查询 + 3 篇原文/官方页核读（Kondratyuk 2005.00570；arXiv 2506.04677；TMLR 官网录取标准页），日期 2026-10-19</w:t>
            </w:r>
          </w:p>
        </w:tc>
        <w:tc>
          <w:tcPr>
            <w:tcW w:type="pct" w:w="1500"/>
            <w:shd w:fill="F2F6F5" w:val="clear"/>
            <w:tcMar>
              <w:top w:type="dxa" w:w="70"/>
              <w:left w:type="dxa" w:w="100"/>
              <w:bottom w:type="dxa" w:w="70"/>
              <w:right w:type="dxa" w:w="100"/>
            </w:tcMar>
          </w:tcPr>
          <w:p>
            <w:pPr>
              <w:spacing w:line="264"/>
              <w:jc w:val="left"/>
            </w:pPr>
            <w:r>
              <w:rPr>
                <w:rFonts w:ascii="Times New Roman" w:eastAsia="SimSun"/>
                <w:b w:val="false"/>
                <w:bCs w:val="false"/>
                <w:color w:val="000000"/>
                <w:sz w:val="18"/>
                <w:szCs w:val="18"/>
              </w:rPr>
              <w:t xml:space="preserve">表 2-1 新增行与第九章政策陈述</w:t>
            </w:r>
          </w:p>
        </w:tc>
      </w:tr>
      <w:tr>
        <w:trPr>
          <w:cantSplit/>
        </w:trPr>
        <w:tc>
          <w:tcPr>
            <w:tcW w:type="pct" w:w="1300"/>
            <w:tcMar>
              <w:top w:type="dxa" w:w="70"/>
              <w:left w:type="dxa" w:w="100"/>
              <w:bottom w:type="dxa" w:w="70"/>
              <w:right w:type="dxa" w:w="100"/>
            </w:tcMar>
          </w:tcPr>
          <w:p>
            <w:pPr>
              <w:spacing w:line="264"/>
              <w:jc w:val="left"/>
            </w:pPr>
            <w:r>
              <w:rPr>
                <w:rFonts w:ascii="Times New Roman" w:eastAsia="SimSun"/>
                <w:b w:val="false"/>
                <w:bCs w:val="false"/>
                <w:color w:val="000000"/>
                <w:sz w:val="18"/>
                <w:szCs w:val="18"/>
              </w:rPr>
              <w:t xml:space="preserve">快照位级一致性</w:t>
            </w:r>
          </w:p>
        </w:tc>
        <w:tc>
          <w:tcPr>
            <w:tcW w:type="pct" w:w="2200"/>
            <w:tcMar>
              <w:top w:type="dxa" w:w="70"/>
              <w:left w:type="dxa" w:w="100"/>
              <w:bottom w:type="dxa" w:w="70"/>
              <w:right w:type="dxa" w:w="100"/>
            </w:tcMar>
          </w:tcPr>
          <w:p>
            <w:pPr>
              <w:spacing w:line="264"/>
              <w:jc w:val="left"/>
            </w:pPr>
            <w:r>
              <w:rPr>
                <w:rFonts w:ascii="Times New Roman" w:eastAsia="SimSun"/>
                <w:b w:val="false"/>
                <w:bCs w:val="false"/>
                <w:color w:val="000000"/>
                <w:sz w:val="18"/>
                <w:szCs w:val="18"/>
              </w:rPr>
              <w:t xml:space="preserve">各 JSONL 记录 shared_member_bit_identical 字段（60/60 为真）</w:t>
            </w:r>
          </w:p>
        </w:tc>
        <w:tc>
          <w:tcPr>
            <w:tcW w:type="pct" w:w="1500"/>
            <w:tcMar>
              <w:top w:type="dxa" w:w="70"/>
              <w:left w:type="dxa" w:w="100"/>
              <w:bottom w:type="dxa" w:w="70"/>
              <w:right w:type="dxa" w:w="100"/>
            </w:tcMar>
          </w:tcPr>
          <w:p>
            <w:pPr>
              <w:spacing w:line="264"/>
              <w:jc w:val="left"/>
            </w:pPr>
            <w:r>
              <w:rPr>
                <w:rFonts w:ascii="Times New Roman" w:eastAsia="SimSun"/>
                <w:b w:val="false"/>
                <w:bCs w:val="false"/>
                <w:color w:val="000000"/>
                <w:sz w:val="18"/>
                <w:szCs w:val="18"/>
              </w:rPr>
              <w:t xml:space="preserve">检查点配对设计的事实基础</w:t>
            </w:r>
          </w:p>
        </w:tc>
      </w:tr>
    </w:tbl>
    <w:p>
      <w:pPr>
        <w:keepNext w:val="false"/>
        <w:spacing w:after="80" w:line="312"/>
        <w:ind w:firstLine="480"/>
        <w:jc w:val="both"/>
      </w:pPr>
      <w:r>
        <w:rPr>
          <w:rFonts w:ascii="Times New Roman" w:eastAsia="SimSun"/>
          <w:b w:val="false"/>
          <w:bCs w:val="false"/>
          <w:color w:val="000000"/>
          <w:sz w:val="24"/>
          <w:szCs w:val="24"/>
        </w:rPr>
        <w:t xml:space="preserve">复算示例（今日执行）：排名一致性由逐种子 NLL 排序直接统计；预算趋势 0.0754/0.2245/0.3317 为 DeepEns-Single 配对差的按种子均值；验证 NLL 触底 epoch 由 histories 字段的逐 epoch val_nll 取 argmin 后取中位数；全部脚本无需修改即可重跑。任何与本报告不一致的复算结果应以原始记录为准并反馈修订。</w:t>
      </w:r>
    </w:p>
    <w:sectPr>
      <w:headerReference w:type="default" r:id="rId8"/>
      <w:footerReference w:type="default" r:id="rId9"/>
      <w:type w:val="nextPage"/>
      <w:pgSz w:w="11906" w:h="16838" w:orient="portrait"/>
      <w:pgMar w:top="1440" w:right="1417" w:bottom="1440" w:left="1701" w:header="708" w:footer="708" w:gutter="0"/>
      <w:pgNumType w:start="1" w:fmt="decimal"/>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fldChar w:fldCharType="begin"/>
      <w:instrText xml:space="preserve"> PAGE \* ROMAN \* MERGEFORMAT </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fldChar w:fldCharType="begin"/>
      <w:instrText xml:space="preserve"> PAGE \* arabic \* MERGEFORMAT </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0C8C4" w:sz="2" w:space="4"/>
      </w:pBdr>
      <w:jc w:val="center"/>
    </w:pPr>
    <w:r>
      <w:rPr>
        <w:rFonts w:ascii="Times New Roman" w:eastAsia="SimSun"/>
        <w:color w:val="808080"/>
        <w:sz w:val="18"/>
        <w:szCs w:val="18"/>
      </w:rPr>
      <w:t xml:space="preserve">IJMLC 拒稿诊断与论文挽救方案 · 独立研究审计报告</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0C8C4" w:sz="2" w:space="4"/>
      </w:pBdr>
      <w:jc w:val="center"/>
    </w:pPr>
    <w:r>
      <w:rPr>
        <w:rFonts w:ascii="Times New Roman" w:eastAsia="SimSun"/>
        <w:color w:val="808080"/>
        <w:sz w:val="18"/>
        <w:szCs w:val="18"/>
      </w:rPr>
      <w:t xml:space="preserve">IJMLC 拒稿诊断与论文挽救方案 · 独立研究审计报告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color w:val="000000"/>
        <w:sz w:val="24"/>
        <w:szCs w:val="24"/>
      </w:rPr>
    </w:rPrDefault>
    <w:pPrDefault>
      <w:pPr>
        <w:spacing w:line="312"/>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line="380" w:lineRule="atLeast"/>
      <w:outlineLvl w:val="0"/>
    </w:pPr>
    <w:rPr>
      <w:rFonts w:ascii="Times New Roman" w:eastAsia="SimHei"/>
      <w:b/>
      <w:bCs/>
      <w:color w:val="0B1C2C"/>
      <w:sz w:val="32"/>
      <w:szCs w:val="32"/>
    </w:rPr>
  </w:style>
  <w:style w:type="paragraph" w:styleId="Heading2">
    <w:name w:val="Heading 2"/>
    <w:basedOn w:val="Normal"/>
    <w:next w:val="Normal"/>
    <w:qFormat/>
    <w:pPr>
      <w:spacing w:after="120" w:before="260" w:line="350" w:lineRule="atLeast"/>
      <w:outlineLvl w:val="1"/>
    </w:pPr>
    <w:rPr>
      <w:rFonts w:ascii="Times New Roman" w:eastAsia="SimHei"/>
      <w:b/>
      <w:bCs/>
      <w:color w:val="0B1C2C"/>
      <w:sz w:val="28"/>
      <w:szCs w:val="28"/>
    </w:rPr>
  </w:style>
  <w:style w:type="paragraph" w:styleId="Heading3">
    <w:pPr>
      <w:outlineLvl w:val="2"/>
    </w:pPr>
    <w:name w:val="Heading 3"/>
    <w:basedOn w:val="Normal"/>
    <w:next w:val="Normal"/>
    <w:qFormat/>
    <w:rPr>
      <w:color w:val="1F4D78"/>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IJMLC 拒稿后原创性诊断与论文挽救方案：独立研究审计报告</dc:title>
  <dc:subject>Independent research audit: originality diagnosis and recovery plan</dc:subject>
  <dc:creator>Chang Tan</dc:creator>
  <dc:description>Audit of the desk-rejected IJMLC manuscript on budget-matched ensembles</dc:description>
  <cp:lastModifiedBy>Un-named</cp:lastModifiedBy>
  <cp:revision>1</cp:revision>
  <dcterms:created xsi:type="dcterms:W3CDTF">2026-10-19T07:39:05.276Z</dcterms:created>
  <dcterms:modified xsi:type="dcterms:W3CDTF">2026-10-19T07:39:05.277Z</dcterms:modified>
</cp:coreProperties>
</file>

<file path=docProps/custom.xml><?xml version="1.0" encoding="utf-8"?>
<Properties xmlns="http://schemas.openxmlformats.org/officeDocument/2006/custom-properties" xmlns:vt="http://schemas.openxmlformats.org/officeDocument/2006/docPropsVTypes"/>
</file>