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L  I  T  E  R  A  T  U  R  E     G  A  P     A  N  A  L  Y  S  I  S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固定预算集成研究定向文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献对照表与缺口判定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方案 B（B×k 预算分配）研究空间论证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研究项目：固定训练预算下的集成不确定性研究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检索范围：22 篇已验证文献（两轮，截至 2026-10-19）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关联交付物：核验报告（Doc 1）与预注册计划（Doc 3）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报告日期：2026 年 10 月 19 日</w:t>
            </w:r>
          </w:p>
          <w:p>
            <w:pPr>
              <w:spacing w:before="4092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Budget-Matched Ensembles Study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v5.0 Revision Programme · Doc 2/3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一、检索方法、渠道与诚实声明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一、检索方法、渠道与诚实声明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二、主对照表：22 篇最相关工作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固定计算预算下的集成比较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集成规模与校准的交互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单轨迹策略与权重平均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 校准、偏移检测与应用研究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三、候选创新点逐项判定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四、方案 B 研究空间判定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五、v5 引用行动清单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注：本目录由域代码生成。如编辑后页码发生变化，请在目录上右键选择“更新域”以刷新页码。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一、检索方法、渠道与诚实声明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本对照表服务于一个具体决策：方案 B（固定训练预算下的成员数 k 与训练深度分配研究）是否拥有真实、未被占据的研究空间。检索分两轮：第一轮为 v4.1 修订时的定位核验（2026 年 10 月 14 日，14 组查询，arXiv API、OpenReview API、出版商 DOI 解析、PMLR/CVF 开放获取页），产出 14 篇已验证文献的比较矩阵；第二轮为本次（2026 年 10 月 19 日），围绕成员数-训练长度权衡做定向增补：15 组网络检索加 8 次原文核读（arXiv 摘要页与 ICML/PMLR 官方页面），新增核验 Kondratyuk et al. 2020、Wu &amp; Gales 2021、Zamyatin et al. 2026、Schweighofer et al. 2025（ICML）、Meding et al. 2023、Wortsman et al. 2022（PMLR 完整记录）、Whitaker et al. 2022（AAAI）与 Thuy &amp; Benoit 2024 的成员数-训练时长相关段落。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诚实声明：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“未找到”仅表示“在所查渠道内未找到”，不等于“不存在”。同时行工作风险始终存在：未被检索引擎索引的研究、各应用领域（遥感、医学影像、材料科学）内部的预算约束集成比较、以及审稿中的并行研究，均无法完全排除。因此本表的结论均以“在所查渠道内”为限定词，并在 v5 稿件中标注检索日期。</w:t>
      </w:r>
    </w:p>
    <w:p>
      <w:pPr>
        <w:pStyle w:val="Heading1"/>
        <w:spacing w:after="160" w:before="360" w:line="312"/>
      </w:pPr>
      <w:bookmarkStart w:name="_Toc2" w:id="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二、主对照表：22 篇最相关工作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下表整合 v4.1 定位矩阵（14 篇）与本轮新增核验（8 篇），按主题分组。列含义：“预算定义”指该工作如何（是否）匹配计算预算；“与本研究的关系”指相对方案 B 研究问题（固定 B 下选择 k 与每成员训练长度的权衡）的最近距离。</w:t>
      </w:r>
    </w:p>
    <w:p>
      <w:pPr>
        <w:pStyle w:val="Heading2"/>
        <w:spacing w:after="120" w:before="240" w:line="312"/>
      </w:pPr>
      <w:bookmarkStart w:name="_Toc3" w:id="3"/>
      <w:r>
        <w:rPr>
          <w:rFonts w:ascii="Times New Roman" w:eastAsia="SimHei"/>
          <w:b/>
          <w:bCs/>
          <w:color w:val="0B1C2C"/>
          <w:sz w:val="30"/>
          <w:szCs w:val="30"/>
        </w:rPr>
        <w:t xml:space="preserve">2.1 固定计算预算下的集成比较</w:t>
      </w:r>
      <w:bookmarkEnd w:id="3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2-1 固定计算预算轴上的已有研究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406"/>
        <w:gridCol w:w="1758"/>
        <w:gridCol w:w="1406"/>
        <w:gridCol w:w="879"/>
        <w:gridCol w:w="1582"/>
        <w:gridCol w:w="1758"/>
      </w:tblGrid>
      <w:tr>
        <w:trPr>
          <w:cantSplit/>
          <w:tblHeader/>
        </w:trPr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工作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研究问题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预算定义</w:t>
            </w:r>
          </w:p>
        </w:tc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主要结论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与本研究的关系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Ashukha et al. 2020 (ICLR)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分布内不确定性估计的陷阱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部分匹配（DEE 分数下的算力对齐）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NLL/覆盖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独立训练网络在算力对齐下仍占优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最近邻：做了 1 对 M 的预算对齐比较，但无 k 网格、无 ECE/OOD、无单轨迹策略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Brigato &amp; Iocchi 2021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小数据集上集成的有效性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固定总算力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准确率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小网络集成在固定算力下有竞争力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容量轴而非训练时长轴；无校准端点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Kondratyuk et al. 2020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小模型集成是否优于单个大模型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FLOPs 匹配（容量轴）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准确率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集成可同时更准且更省 FLOPs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容量轴第三例；无校准、无成员数-训练长度权衡。v4.1.2 确认漏引（grep=0），v5 必须补引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Chirkova et al. 2020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固定参数量：1 宽 vs 多窄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内存（参数量）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准确率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宽度拆分可竞争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固定资源类比的内存轴</w:t>
            </w:r>
          </w:p>
        </w:tc>
      </w:tr>
    </w:tbl>
    <w:p>
      <w:pPr>
        <w:pStyle w:val="Heading2"/>
        <w:spacing w:after="120" w:before="240" w:line="312"/>
      </w:pPr>
      <w:bookmarkStart w:name="_Toc4" w:id="4"/>
      <w:r>
        <w:rPr>
          <w:rFonts w:ascii="Times New Roman" w:eastAsia="SimHei"/>
          <w:b/>
          <w:bCs/>
          <w:color w:val="0B1C2C"/>
          <w:sz w:val="30"/>
          <w:szCs w:val="30"/>
        </w:rPr>
        <w:t xml:space="preserve">2.2 集成规模与校准的交互</w:t>
      </w:r>
      <w:bookmarkEnd w:id="4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2-2 集成规模与校准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582"/>
        <w:gridCol w:w="1758"/>
        <w:gridCol w:w="1406"/>
        <w:gridCol w:w="1055"/>
        <w:gridCol w:w="1406"/>
        <w:gridCol w:w="1582"/>
      </w:tblGrid>
      <w:tr>
        <w:trPr>
          <w:cantSplit/>
          <w:tblHeader/>
        </w:trPr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工作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研究问题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实验设置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主要结论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与本研究的关系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Lakshminarayanan et al. 2017 (NeurIPS)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集成是否给出好的 UQ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无预算约束（附加成本）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NLL/校准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预测平均是强基线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组件方法；“昂贵基线”被本研究在固定预算下重新定价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Fort et al. 2019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为什么重启有效（损失景观）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无预算约束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部分校准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独立初始化落入不同盆地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机制背景；对应成员多样性测量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Wu &amp; Gales 2021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集成成员是否应当被校准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CIFAR-100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ECE/NLL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成员校准不必然传递到集成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成员-集成校准交互的先例；无预算分配问题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Zamyatin et al. 2026 (arXiv 2601.16936)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BatchEnsemble 是单模型吗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CIFAR-10/10C/SVHN/MNIST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准确率/校准/OOD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BatchEnsemble 贴近单模型；成员近同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支持“多样性是关键成分”的机制叙事；高效集成不达成的证据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Schweighofer et al. 2025 (ICML)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深度集成的差异收益（公平性）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人脸/医学数据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公平性指标+校准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集成对不同群体收益不均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公平性轴；不重叠，但校准讨论可引</w:t>
            </w:r>
          </w:p>
        </w:tc>
      </w:tr>
    </w:tbl>
    <w:p>
      <w:pPr>
        <w:pStyle w:val="Heading2"/>
        <w:spacing w:after="120" w:before="240" w:line="312"/>
      </w:pPr>
      <w:bookmarkStart w:name="_Toc5" w:id="5"/>
      <w:r>
        <w:rPr>
          <w:rFonts w:ascii="Times New Roman" w:eastAsia="SimHei"/>
          <w:b/>
          <w:bCs/>
          <w:color w:val="0B1C2C"/>
          <w:sz w:val="30"/>
          <w:szCs w:val="30"/>
        </w:rPr>
        <w:t xml:space="preserve">2.3 单轨迹策略与权重平均</w:t>
      </w:r>
      <w:bookmarkEnd w:id="5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2-3 单轨迹集成与权重平均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582"/>
        <w:gridCol w:w="1758"/>
        <w:gridCol w:w="1230"/>
        <w:gridCol w:w="1055"/>
        <w:gridCol w:w="1406"/>
        <w:gridCol w:w="1758"/>
      </w:tblGrid>
      <w:tr>
        <w:trPr>
          <w:cantSplit/>
          <w:tblHeader/>
        </w:trPr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工作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研究问题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预算定义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主要结论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与本研究的关系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Huang et al. 2017 (ICLR)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循环学习率的免费集成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单次运行（无对齐）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错误率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循环末端快照集成有效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组件方法；未在匹配预算+校准端点下评估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Izmailov et al. 2018 (UAI)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权重平均趋向平坦极小值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无对齐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准确率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SWA 改善泛化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组件方法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Wortsman et al. 2022 (ICML)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微调权重的平均（模型汤）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推理成本零增量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准确率/OOD 鲁棒性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汤优于最佳单模型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微调场景的权重平均；无预算匹配、无校准端点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Ramé et al. 2022 (NeurIPS, DiWA)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权重平均的 OOD 泛化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全量运行合并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域偏移准确率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多样权重平均提升 OOD 准确率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权重平均+偏移，但端点是准确率而非不确定性质量；v4.1 已引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Ajroldi et al. 2025 (ICML)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何时/何地/为何平均权重（AlgoPerf）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训练时间（加速）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准确率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加速训练、温和改善泛化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优化速度轴；无校准、无预测-权重对照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Meding et al. 2023 (DESOT)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推理期时间上铺开集成成员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推理成本摊销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准确率/OOD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时间铺开保留集成收益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推理成本缓解的替代思路；与训练预算分配正交，可在 v5 成本讨论中引用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Whitaker et al. 2022 (AAAI)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稀疏独立子网络的低成本集成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剪枝轴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准确率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低/高训练预算下均稳健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低成本轴的又一实现；无校准端点</w:t>
            </w:r>
          </w:p>
        </w:tc>
      </w:tr>
    </w:tbl>
    <w:p>
      <w:pPr>
        <w:pStyle w:val="Heading2"/>
        <w:spacing w:after="120" w:before="240" w:line="312"/>
      </w:pPr>
      <w:bookmarkStart w:name="_Toc6" w:id="6"/>
      <w:r>
        <w:rPr>
          <w:rFonts w:ascii="Times New Roman" w:eastAsia="SimHei"/>
          <w:b/>
          <w:bCs/>
          <w:color w:val="0B1C2C"/>
          <w:sz w:val="30"/>
          <w:szCs w:val="30"/>
        </w:rPr>
        <w:t xml:space="preserve">2.4 校准、偏移检测与应用研究</w:t>
      </w:r>
      <w:bookmarkEnd w:id="6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2-4 校准与偏移端点上的已有研究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582"/>
        <w:gridCol w:w="1758"/>
        <w:gridCol w:w="1230"/>
        <w:gridCol w:w="1055"/>
        <w:gridCol w:w="1406"/>
        <w:gridCol w:w="1758"/>
      </w:tblGrid>
      <w:tr>
        <w:trPr>
          <w:cantSplit/>
          <w:tblHeader/>
        </w:trPr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工作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研究问题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预算定义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主要结论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与本研究的关系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Guo et al. 2017 / Naeini et al. 2015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校准度量与温度缩放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不适用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ECE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现代网络过自信；TS 可修复大半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TS 方法被本研究采用并做匹配预算下的压力测试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Ovadia et al. 2019 (NeurIPS)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偏移下的 UQ 基准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各方法各自预算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NLL/ECE/AUROC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深度集成最鲁棒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基准背景；预算未跨方法匹配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Zhang et al. 2020 (AISTATS)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校准与集成的组合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无对齐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ECE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集成与校准器交互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TS-集成交互先例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Krumpl et al. 2024 (WACV)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自适应 TS 改善 OOD 检测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不适用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AUROC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样本级温度重标度可提升检测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直接支持 TS 非保序的论断；已引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Thuy &amp; Benoit 2024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工业图像分类的高效集成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节省训练/推理/内存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DQ 指标等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BatchEnsemble 匹配深度集成且更省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应用轴最近邻：定性承认“成员数直接影响每成员训练时长，过多成员损害个体精度”，但非系统 B×k 网格研究，无种子配对统计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Hendrycks &amp; Gimpel 2017 / Nguyen et al. 2015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置信度 OOD 分数及其脆弱性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不适用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AUROC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MSP 基线与对抗样本失效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分数方法与失败模式背景</w:t>
            </w:r>
          </w:p>
        </w:tc>
      </w:tr>
    </w:tbl>
    <w:p>
      <w:pPr>
        <w:spacing w:after="160" w:before="40" w:line="312"/>
      </w:pPr>
      <w:r>
        <w:rPr>
          <w:rFonts w:ascii="Times New Roman" w:eastAsia="SimSun"/>
          <w:i/>
          <w:iCs/>
          <w:color w:val="606060"/>
          <w:sz w:val="21"/>
          <w:szCs w:val="21"/>
        </w:rPr>
        <w:t xml:space="preserve">表 2-1 至 2-4 共 22 个条目，均经主要源验证（出版商页、arXiv 摘要、PMLR/ICML 官方页面）。Thuy &amp; Benoit 的成员数段落引自其 arXiv 全文检索索引，周边实验细节本轮抓取失败，以此为限。</w:t>
      </w:r>
    </w:p>
    <w:p>
      <w:pPr>
        <w:pStyle w:val="Heading1"/>
        <w:spacing w:after="160" w:before="360" w:line="312"/>
      </w:pPr>
      <w:bookmarkStart w:name="_Toc7" w:id="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三、候选创新点逐项判定</w:t>
      </w:r>
      <w:bookmarkEnd w:id="7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3-1 候选创新点与占据情况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933"/>
        <w:gridCol w:w="1055"/>
        <w:gridCol w:w="2988"/>
        <w:gridCol w:w="2812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候选创新点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是否已被占据</w:t>
            </w:r>
          </w:p>
        </w:tc>
        <w:tc>
          <w:tcPr>
            <w:tcW w:type="pct" w:w="1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证据与边界</w:t>
            </w:r>
          </w:p>
        </w:tc>
        <w:tc>
          <w:tcPr>
            <w:tcW w:type="pct" w:w="1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v5 处置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固定预算四路比较（含单轨迹两策略）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部分占据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Ashukha 覆盖 1-vs-M（分布内）；Brigato/Kondratyuk 覆盖容量轴；训练时长轴+校准+OOD 的组合未见</w:t>
            </w:r>
          </w:p>
        </w:tc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保留但降格为“设计”而非发现；v5 把重心移向 k 分配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B×k 分配网格：固定 B 下 k 与每成员训练长度的权衡曲线（NLL/ECE/推理成本端点）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未占据（所查渠道内）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Ashukha 仅两端点；Thuy &amp; Benoit 定性承认权衡；无系统的 k∈{2,3,5,8} 网格、无等效性检验、无阶段化外推</w:t>
            </w:r>
          </w:p>
        </w:tc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v5 核心贡献，配预注册假设 H1–H3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预算放大规律（差距随 B 增长）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未占据，但仅 3 点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现有 0.0754/0.2245/0.3317 三点趋势；无文献先例也无外部复制</w:t>
            </w:r>
          </w:p>
        </w:tc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降格为待验证经验假设；预注册 B240 外推检验（H2），失败即弃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检查点匹配的预测平均 vs 权重平均（校准/OOD 端点）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未占据（所查渠道内）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权重平均文献（Izmailov/Ramé/Wortsman/Ajroldi）端点均为准确率或优化；无人做同检查点对照</w:t>
            </w:r>
          </w:p>
        </w:tc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继续作为最尖锐的方法学贡献保留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近饱和任务边界条件（MNIST）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未占据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无文献覆盖该边界</w:t>
            </w:r>
          </w:p>
        </w:tc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保留，并入 H4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重启失败率与集成容错（CIFAR 种子 8 先例）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未占据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崩溃种子被完整保留并诊断；文献未见预算分割下的重启失败统计</w:t>
            </w:r>
          </w:p>
        </w:tc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v5 在新网格中继续记录并预登记失败计数</w:t>
            </w:r>
          </w:p>
        </w:tc>
      </w:tr>
    </w:tbl>
    <w:p>
      <w:pPr>
        <w:pStyle w:val="Heading1"/>
        <w:spacing w:after="160" w:before="360" w:line="312"/>
      </w:pPr>
      <w:bookmarkStart w:name="_Toc8" w:id="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四、方案 B 研究空间判定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判定：方案 B 拥有真实的研究空间，但必须按以下三条诚实约束重新表述其新颖性。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第一，Ashukha et al. (2020) 是分配轴上的最近邻：其算力对齐比较已经覆盖“1 长跑 vs M 短跑”的两端点，因此 v5 的新颖性不在“预算匹配”本身，而在于：把分配决策从二元拓展为完整的 k 曲线（含等效性检验）、把端点从 NLL 扩展到 ECE/Brier/AUROC 与推理成本、以及把单轨迹替代品纳入同一预算下的选择集。第二，应用文献（Thuy &amp; Benoit）已定性承认成员数与每成员训练时长的权衡，这意味着问题本身已被实务界感知到——这既是确认需求真实存在的证据，也要求 v5 在相关工作中明确引用并说明差异。第三，并行工作风险不可零，检索日期与渠道清单必须写入稿件。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一个有利的旁证是：本轮新核验的 Zamyatin et al. (2026) 发现参数共享型高效集成（BatchEnsemble）在校准与 OOD 上退化为单模型、成员在函数空间近乎相同——这与本研究“独立重启的多样性是预算分割收益的关键成分”的机制叙事相互印证，也为“成员数 k 值得作为一级研究对象”提供了外部动机。</w:t>
      </w:r>
    </w:p>
    <w:p>
      <w:pPr>
        <w:pStyle w:val="Heading1"/>
        <w:spacing w:after="160" w:before="360" w:line="312"/>
      </w:pPr>
      <w:bookmarkStart w:name="_Toc9" w:id="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五、v5 引用行动清单</w:t>
      </w:r>
      <w:bookmarkEnd w:id="9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5-1 引用行动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055"/>
        <w:gridCol w:w="2988"/>
        <w:gridCol w:w="4746"/>
      </w:tblGrid>
      <w:tr>
        <w:trPr>
          <w:cantSplit/>
          <w:tblHeader/>
        </w:trPr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行动</w:t>
            </w:r>
          </w:p>
        </w:tc>
        <w:tc>
          <w:tcPr>
            <w:tcW w:type="pct" w:w="1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文献</w:t>
            </w:r>
          </w:p>
        </w:tc>
        <w:tc>
          <w:tcPr>
            <w:tcW w:type="pct" w:w="2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必须补引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Kondratyuk, Tan, Brown, Gong 2020 (arXiv:2005.00570)</w:t>
            </w:r>
          </w:p>
        </w:tc>
        <w:tc>
          <w:tcPr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固定 FLOPs容量轴的集成-vs-单模研究；v4.1.2 漏引已经本轮 grep 确认；不补引则定位段重现 v4.0 的内部不一致问题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建议新增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Zamyatin et al. 2026 (arXiv:2601.16936)</w:t>
            </w:r>
          </w:p>
        </w:tc>
        <w:tc>
          <w:tcPr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高效集成不达成的新证据，支持多样性机制叙事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建议新增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Wu &amp; Gales 2021 (arXiv:2101.05397)</w:t>
            </w:r>
          </w:p>
        </w:tc>
        <w:tc>
          <w:tcPr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成员-集成校准交互的先例，与成员质量测量相关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可选新增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Meding et al. 2023 (arXiv:2309.11333, DESOT)</w:t>
            </w:r>
          </w:p>
        </w:tc>
        <w:tc>
          <w:tcPr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推理成本摊销的替代思路，适合成本讨论段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维持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现有 28 篇（v4.1.2）</w:t>
            </w:r>
          </w:p>
        </w:tc>
        <w:tc>
          <w:tcPr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全部经验证；无需变动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结论：按本对照表的证据，方案 B 的研究问题——“在总训练预算固定时应当训练多少个独立模型、每个训练多长”——在所查渠道内没有占据者，且具备应用需求证据与机制旁证；其新颖性表述需按上节三条约束收敛。下一步即按交付物三的预注册计划执行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ROMAN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定向文献对照表与缺口判定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定向文献对照表与缺口判定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B1C2C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固定预算集成研究定向文献对照表与缺口判定</dc:title>
  <dc:creator>Chang Tan</dc:creator>
  <cp:lastModifiedBy>Un-named</cp:lastModifiedBy>
  <cp:revision>1</cp:revision>
  <dcterms:created xsi:type="dcterms:W3CDTF">2026-10-19T16:16:21.537Z</dcterms:created>
  <dcterms:modified xsi:type="dcterms:W3CDTF">2026-10-19T16:16:21.537Z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