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1906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C2C" w:val="clear"/>
            <w:vAlign w:val="top"/>
          </w:tcPr>
          <w:p>
            <w:pPr>
              <w:spacing w:before="3588"/>
            </w:pPr>
          </w:p>
          <w:p>
            <w:pPr>
              <w:pBdr>
                <w:bottom w:val="single" w:color="529286" w:sz="6" w:space="8"/>
              </w:pBdr>
              <w:spacing w:after="500"/>
              <w:ind w:left="1200" w:right="800"/>
            </w:pPr>
            <w:r>
              <w:rPr>
                <w:rFonts w:ascii="Calibri" w:eastAsia="SimHei"/>
                <w:color w:val="529286"/>
                <w:spacing w:val="40"/>
                <w:sz w:val="18"/>
                <w:szCs w:val="18"/>
              </w:rPr>
              <w:t xml:space="preserve">S  T  A  G  E     1     R  E  P  O  R  T</w:t>
            </w:r>
          </w:p>
          <w:p>
            <w:pPr>
              <w:spacing w:after="1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80"/>
                <w:szCs w:val="80"/>
              </w:rPr>
              <w:t xml:space="preserve">S1 主网格执行报告：</w:t>
            </w:r>
          </w:p>
          <w:p>
            <w:pPr>
              <w:spacing w:after="1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80"/>
                <w:szCs w:val="80"/>
              </w:rPr>
              <w:t xml:space="preserve">k 曲线、最优分配与</w:t>
            </w:r>
          </w:p>
          <w:p>
            <w:pPr>
              <w:spacing w:after="3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80"/>
                <w:szCs w:val="80"/>
              </w:rPr>
              <w:t xml:space="preserve">阶段门判定</w:t>
            </w:r>
          </w:p>
          <w:p>
            <w:pPr>
              <w:spacing w:after="800"/>
              <w:ind w:left="1200"/>
            </w:pPr>
            <w:r>
              <w:rPr>
                <w:rFonts w:ascii="Arial" w:eastAsia="Microsoft YaHei"/>
                <w:color w:val="B0B8C0"/>
                <w:sz w:val="24"/>
                <w:szCs w:val="24"/>
              </w:rPr>
              <w:t xml:space="preserve">v5.0 研究计划（方案 B）阶段报告 · 预注册网格 S1 结果与 G1 判定</w:t>
            </w:r>
          </w:p>
          <w:p>
            <w:pPr>
              <w:pBdr>
                <w:left w:val="single" w:color="529286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研究项目：固定训练预算下的集成不确定性研究</w:t>
            </w:r>
          </w:p>
          <w:p>
            <w:pPr>
              <w:pBdr>
                <w:left w:val="single" w:color="529286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执行日期：2026 年 10 月 20 日（S1 完成，G1 通过）</w:t>
            </w:r>
          </w:p>
          <w:p>
            <w:pPr>
              <w:pBdr>
                <w:left w:val="single" w:color="529286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前置文档：核验报告 Doc 1 · 文献缺口 Doc 2 · 预注册计划 Doc 3</w:t>
            </w:r>
          </w:p>
          <w:p>
            <w:pPr>
              <w:pBdr>
                <w:left w:val="single" w:color="529286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数据环境：torch 2.14.1+cpu（双线程）· 10 单元 × 10 种子 · 2.30 h</w:t>
            </w:r>
          </w:p>
          <w:p>
            <w:pPr>
              <w:spacing w:before="3588"/>
            </w:pPr>
          </w:p>
          <w:p>
            <w:pPr>
              <w:pBdr>
                <w:top w:val="single" w:color="529286" w:sz="2" w:space="8"/>
              </w:pBdr>
              <w:spacing w:before="200"/>
              <w:ind w:left="1200" w:right="800"/>
            </w:pPr>
            <w:r>
              <w:rPr>
                <w:rFonts w:ascii="Arial" w:eastAsia="Microsoft YaHei"/>
                <w:color w:val="687078"/>
                <w:sz w:val="16"/>
                <w:szCs w:val="16"/>
              </w:rPr>
              <w:t xml:space="preserve">Budget-Matched Ensembles Study</w:t>
            </w:r>
            <w:r>
              <w:t xml:space="preserve">                                        </w:t>
            </w:r>
            <w:r>
              <w:rPr>
                <w:rFonts w:ascii="Arial" w:eastAsia="Microsoft YaHei"/>
                <w:color w:val="687078"/>
                <w:sz w:val="16"/>
                <w:szCs w:val="16"/>
              </w:rPr>
              <w:t xml:space="preserve">v5.0 Stage Report · Doc 4/4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360" w:before="480"/>
        <w:jc w:val="center"/>
      </w:pPr>
      <w:r>
        <w:rPr>
          <w:rFonts w:ascii="Times New Roman" w:eastAsia="SimHei"/>
          <w:b/>
          <w:bCs/>
          <w:sz w:val="32"/>
          <w:szCs w:val="32"/>
        </w:rPr>
        <w:t xml:space="preserve">目  录</w:t>
      </w:r>
    </w:p>
    <w:sdt>
      <w:sdtPr>
        <w:alias w:val="Table of Contents"/>
      </w:sdtPr>
      <w:sdtContent>
        <w:p>
          <w:pPr>
            <w:pStyle w:val="TOC1"/>
            <w:tabs>
              <w:tab w:val="right" w:pos="8788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一、执行摘要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788" w:leader="dot"/>
            </w:tabs>
          </w:pPr>
          <w:hyperlink w:history="1" w:anchor="_Toc2">
            <w:r>
              <w:t xml:space="preserve">二、执行记录与数据完整性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788" w:leader="dot"/>
            </w:tabs>
          </w:pPr>
          <w:hyperlink w:history="1" w:anchor="_Toc3">
            <w:r>
              <w:t xml:space="preserve">三、核心结果：k 曲线与最优分配（RQ1/RQ2）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788" w:leader="dot"/>
            </w:tabs>
          </w:pPr>
          <w:hyperlink w:history="1" w:anchor="_Toc4">
            <w:r>
              <w:t xml:space="preserve">四、放大规律与机制分解（H2/RQ2）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788" w:leader="dot"/>
            </w:tabs>
          </w:pPr>
          <w:hyperlink w:history="1" w:anchor="_Toc5">
            <w:r>
              <w:t xml:space="preserve">五、预注册假设判定（S1 范围）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788" w:leader="dot"/>
            </w:tabs>
          </w:pPr>
          <w:hyperlink w:history="1" w:anchor="_Toc6">
            <w:r>
              <w:t xml:space="preserve">六、温度缩放对最优分配的影响（新知识）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788" w:leader="dot"/>
            </w:tabs>
          </w:pPr>
          <w:hyperlink w:history="1" w:anchor="_Toc7">
            <w:r>
              <w:t xml:space="preserve">七、族一：v4 排序假设在 10 个新设置下的确认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788" w:leader="dot"/>
            </w:tabs>
          </w:pPr>
          <w:hyperlink w:history="1" w:anchor="_Toc8">
            <w:r>
              <w:t xml:space="preserve">八、偏离登记（预注册第八节承诺）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788" w:leader="dot"/>
            </w:tabs>
          </w:pPr>
          <w:hyperlink w:history="1" w:anchor="_Toc9">
            <w:r>
              <w:t xml:space="preserve">九、G1 判定与后续阶段建议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788" w:leader="dot"/>
            </w:tabs>
          </w:pPr>
          <w:hyperlink w:history="1" w:anchor="_Toc10">
            <w:r>
              <w:t xml:space="preserve">十、可核验性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  <w:sectPr>
          <w:headerReference w:type="default" r:id="rId6"/>
          <w:footerReference w:type="default" r:id="rId7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  <w:r>
        <w:rPr>
          <w:rFonts w:ascii="Times New Roman" w:eastAsia="SimSun"/>
          <w:i/>
          <w:iCs/>
          <w:color w:val="888888"/>
          <w:sz w:val="18"/>
          <w:szCs w:val="18"/>
        </w:rPr>
        <w:t xml:space="preserve">注：本目录由域代码生成。如编辑后页码发生变化，请在目录上右键选择“更新域”以刷新页码。</w:t>
      </w:r>
    </w:p>
    <w:p>
      <w:pPr>
        <w:pStyle w:val="Heading1"/>
        <w:spacing w:after="160" w:before="360" w:line="312"/>
      </w:pPr>
      <w:bookmarkStart w:name="_Toc1" w:id="1"/>
      <w:r>
        <w:rPr>
          <w:rFonts w:ascii="Times New Roman" w:eastAsia="SimHei"/>
          <w:b/>
          <w:bCs/>
          <w:color w:val="0B1C2C"/>
          <w:sz w:val="32"/>
          <w:szCs w:val="32"/>
        </w:rPr>
        <w:t xml:space="preserve">一、执行摘要</w:t>
      </w:r>
      <w:bookmarkEnd w:id="1"/>
    </w:p>
    <w:p>
      <w:pPr>
        <w:spacing w:after="6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G1 阶段门判定：通过。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S1 主网格（FMNIST，B∈{30,60,120}×k∈{2,3,5} 加 B120×k8，共 10 单元 × 10 种子，20,180 训练 epochs，实测 2.30 小时）在预注册环境下全部完成。k 曲线在每个预算内呈现稳定且可归类的形状，全部 12 组分配配对的方向一致性为 9–10/10 种子；按预注册表 7-2，S2（B240 外推）获得启动授权。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三项核心发现（均为确认性结果，族二统计，逐 B Holm 校正）：</w:t>
      </w:r>
    </w:p>
    <w:p>
      <w:pPr>
        <w:pStyle w:val="ListParagraph"/>
        <w:numPr>
          <w:ilvl w:val="0"/>
          <w:numId w:val="1"/>
        </w:numPr>
        <w:spacing w:after="40" w:line="312"/>
        <w:jc w:val="left"/>
      </w:pPr>
      <w:r>
        <w:rPr>
          <w:rFonts w:ascii="Times New Roman" w:eastAsia="SimSun"/>
          <w:color w:val="000000"/>
          <w:sz w:val="24"/>
          <w:szCs w:val="24"/>
        </w:rPr>
        <w:t xml:space="preserve">最优成员数 k* 随预算 B 系统移动：B30 时 k*=3（k3 与 k2 差 −0.0024，在 δ=0.010 等效界内；k5 显著劣化 +0.0120）；B60 时 k*∈[3,5]（k5−k3=−0.0046，等效）；B120 时 k*∈[5,8]（k8−k5=−0.0056，等效，TOST 通过）。不存在普适最优 k，但存在跨预算的统一机制：等价的每成员训练长度区间。</w:t>
      </w:r>
    </w:p>
    <w:p>
      <w:pPr>
        <w:pStyle w:val="ListParagraph"/>
        <w:numPr>
          <w:ilvl w:val="0"/>
          <w:numId w:val="1"/>
        </w:numPr>
        <w:spacing w:after="40" w:line="312"/>
        <w:jc w:val="left"/>
      </w:pPr>
      <w:r>
        <w:rPr>
          <w:rFonts w:ascii="Times New Roman" w:eastAsia="SimSun"/>
          <w:color w:val="000000"/>
          <w:sz w:val="24"/>
          <w:szCs w:val="24"/>
        </w:rPr>
        <w:t xml:space="preserve">机制统一规律：DeepEns 的 NLL 由每成员训练长度 e=B/k 决定，呈倒 U 形——e=6 欠拟合（0.3161）、e∈[10,24] 甜蜜区（0.2909–0.3041）、e≥30 恶化（0.3355–0.4157）。三个预算的最优 k 全部落在 e*∈[10,24] 区间，即 k*≈B/18（范围 B/24 至 B/12）。</w:t>
      </w:r>
    </w:p>
    <w:p>
      <w:pPr>
        <w:pStyle w:val="ListParagraph"/>
        <w:numPr>
          <w:ilvl w:val="0"/>
          <w:numId w:val="1"/>
        </w:numPr>
        <w:spacing w:after="40" w:line="312"/>
        <w:jc w:val="left"/>
      </w:pPr>
      <w:r>
        <w:rPr>
          <w:rFonts w:ascii="Times New Roman" w:eastAsia="SimSun"/>
          <w:color w:val="000000"/>
          <w:sz w:val="24"/>
          <w:szCs w:val="24"/>
        </w:rPr>
        <w:t xml:space="preserve">温度缩放改变最优分配：TS 后最优 k 系统性下移一档（B30: k3→k2；B60: k5→k3；B120: k8→k5），因为长成员校准差但判别力强，TS 修复校准后其准确率优势显现。实践含义：部署时可后校准则选更长成员，不可则选更多成员。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预注册假设判定：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H1（饱和）支持；H2（放大机制）支持——放大差距 −0.0754/−0.2245/−0.3317 全部 p=0.0020，且 30→120 预算区间的差距增长 112% 由 Single 恶化贡献；H3（快照差距随 k 收窄）按预注册失败判据被推翻（B30×k5 反转为显著正值 +0.0096，p=0.002）；H5（温度缩放）部分支持——B≥60 的 k 效应 TS 后保留，但“B30 趋于拉平”的表述与数据不符，TS 后 B30 的 k 效应仍显著且最优 k 移至 k2。H4 与 H6 分别留待 S3 与 A2。</w:t>
      </w:r>
    </w:p>
    <w:p>
      <w:pPr>
        <w:pStyle w:val="Heading1"/>
        <w:spacing w:after="160" w:before="360" w:line="312"/>
      </w:pPr>
      <w:bookmarkStart w:name="_Toc2" w:id="2"/>
      <w:r>
        <w:rPr>
          <w:rFonts w:ascii="Times New Roman" w:eastAsia="SimHei"/>
          <w:b/>
          <w:bCs/>
          <w:color w:val="0B1C2C"/>
          <w:sz w:val="32"/>
          <w:szCs w:val="32"/>
        </w:rPr>
        <w:t xml:space="preserve">二、执行记录与数据完整性</w:t>
      </w:r>
      <w:bookmarkEnd w:id="2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执行环境与预注册声明一致：torch 2.14.1+cpu（双线程）、numpy 2.1.3、统一种子方案 base=10000+100s、s∈[0,10)。分片执行协议按预注册沿用 --time-budget 断点续跑，共 23 个执行分片，无中断损失。偏离一项：宿主 Python 由 3.12.14 升至 3.12.15（环境重置所致，torch/numpy 版本与冒烟记录完全一致；该偏离登记于第八节）。</w:t>
      </w:r>
    </w:p>
    <w:p>
      <w:pPr>
        <w:keepNext/>
        <w:spacing w:after="80" w:before="160" w:line="312"/>
      </w:pPr>
      <w:r>
        <w:rPr>
          <w:rFonts w:ascii="Times New Roman" w:eastAsia="SimHei"/>
          <w:b/>
          <w:bCs/>
          <w:color w:val="0B1C2C"/>
          <w:sz w:val="21"/>
          <w:szCs w:val="21"/>
        </w:rPr>
        <w:t xml:space="preserve">表 2-1 数据完整性核验（scripts/check_s1_integrity.py，六项全过）</w:t>
      </w:r>
    </w:p>
    <w:tbl>
      <w:tblPr>
        <w:tblW w:type="pct" w:w="5000"/>
        <w:tblBorders>
          <w:top w:val="single" w:color="529286" w:sz="4"/>
          <w:left w:val="none" w:color="FFFFFF" w:sz="0"/>
          <w:bottom w:val="single" w:color="529286" w:sz="4"/>
          <w:right w:val="none" w:color="FFFFFF" w:sz="0"/>
          <w:insideH w:val="single" w:color="BECFCC" w:sz="1"/>
          <w:insideV w:val="none" w:color="FFFFFF" w:sz="0"/>
        </w:tblBorders>
      </w:tblPr>
      <w:tblGrid>
        <w:gridCol w:w="1406"/>
        <w:gridCol w:w="1230"/>
        <w:gridCol w:w="6152"/>
      </w:tblGrid>
      <w:tr>
        <w:trPr>
          <w:cantSplit/>
          <w:tblHeader/>
        </w:trPr>
        <w:tc>
          <w:tcPr>
            <w:tcW w:type="pct" w:w="8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检查</w:t>
            </w:r>
          </w:p>
        </w:tc>
        <w:tc>
          <w:tcPr>
            <w:tcW w:type="pct" w:w="7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结果</w:t>
            </w:r>
          </w:p>
        </w:tc>
        <w:tc>
          <w:tcPr>
            <w:tcW w:type="pct" w:w="35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I1 种子完整性</w:t>
            </w:r>
          </w:p>
        </w:tc>
        <w:tc>
          <w:tcPr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10/10 单元 PASS</w:t>
            </w:r>
          </w:p>
        </w:tc>
        <w:tc>
          <w:tcPr>
            <w:tcW w:type="pct" w:w="3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每单元恰含种子 0–9，无重复、无截断行</w:t>
            </w:r>
          </w:p>
        </w:tc>
      </w:tr>
      <w:tr>
        <w:trPr>
          <w:cantSplit/>
        </w:trPr>
        <w:tc>
          <w:tcPr>
            <w:tcW w:type="pct" w:w="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I2 共享成员位级一致</w:t>
            </w:r>
          </w:p>
        </w:tc>
        <w:tc>
          <w:tcPr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pct" w:w="3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10 个单元的 seed-0 位级校验 shared_ok=True</w:t>
            </w:r>
          </w:p>
        </w:tc>
      </w:tr>
      <w:tr>
        <w:trPr>
          <w:cantSplit/>
        </w:trPr>
        <w:tc>
          <w:tcPr>
            <w:tcW w:type="pct" w:w="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I3 跨配置 Single 一致</w:t>
            </w:r>
          </w:p>
        </w:tc>
        <w:tc>
          <w:tcPr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PASS（7/7 对）</w:t>
            </w:r>
          </w:p>
        </w:tc>
        <w:tc>
          <w:tcPr>
            <w:tcW w:type="pct" w:w="3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同 B 不同 k 的 Single 逐种子位级一致（Single 不依赖 k 的结构性验证）</w:t>
            </w:r>
          </w:p>
        </w:tc>
      </w:tr>
      <w:tr>
        <w:trPr>
          <w:cantSplit/>
        </w:trPr>
        <w:tc>
          <w:tcPr>
            <w:tcW w:type="pct" w:w="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I4 跨版本对照</w:t>
            </w:r>
          </w:p>
        </w:tc>
        <w:tc>
          <w:tcPr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PASS（超额）</w:t>
            </w:r>
          </w:p>
        </w:tc>
        <w:tc>
          <w:tcPr>
            <w:tcW w:type="pct" w:w="3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B60 seed-0 Single NLL v2=0.525029 vs v5=0.525029，跨 torch 2.14.0→2.14.1 达到位级一致，超出预注册承诺的打印精度；DeepEns NLL 亦位级一致（0.303949）</w:t>
            </w:r>
          </w:p>
        </w:tc>
      </w:tr>
      <w:tr>
        <w:trPr>
          <w:cantSplit/>
        </w:trPr>
        <w:tc>
          <w:tcPr>
            <w:tcW w:type="pct" w:w="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I5 版本戳统一</w:t>
            </w:r>
          </w:p>
        </w:tc>
        <w:tc>
          <w:tcPr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pct" w:w="3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全部 100 条记录均为 torch 2.14.1+cpu / numpy 2.1.3</w:t>
            </w:r>
          </w:p>
        </w:tc>
      </w:tr>
      <w:tr>
        <w:trPr>
          <w:cantSplit/>
        </w:trPr>
        <w:tc>
          <w:tcPr>
            <w:tcW w:type="pct" w:w="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I6 记录完整</w:t>
            </w:r>
          </w:p>
        </w:tc>
        <w:tc>
          <w:tcPr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pct" w:w="3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成员级指标在位；总 wallclock 8,273 秒（2.30 h，预算 5–6 h 内）</w:t>
            </w:r>
          </w:p>
        </w:tc>
      </w:tr>
    </w:tbl>
    <w:p>
      <w:pPr>
        <w:spacing w:after="160" w:before="40" w:line="312"/>
      </w:pPr>
      <w:r>
        <w:rPr>
          <w:rFonts w:ascii="Times New Roman" w:eastAsia="SimSun"/>
          <w:i/>
          <w:iCs/>
          <w:color w:val="606060"/>
          <w:sz w:val="21"/>
          <w:szCs w:val="21"/>
        </w:rPr>
        <w:t xml:space="preserve">数据完整性承诺执行情况：无任何种子被删除或替换；本网格未出现训练崩溃或发散种子（逐种子记录见 results/v5/*.jsonl，含每种子 wallclock 与全部指标）。</w:t>
      </w:r>
    </w:p>
    <w:p>
      <w:pPr>
        <w:pStyle w:val="Heading1"/>
        <w:spacing w:after="160" w:before="360" w:line="312"/>
      </w:pPr>
      <w:bookmarkStart w:name="_Toc3" w:id="3"/>
      <w:r>
        <w:rPr>
          <w:rFonts w:ascii="Times New Roman" w:eastAsia="SimHei"/>
          <w:b/>
          <w:bCs/>
          <w:color w:val="0B1C2C"/>
          <w:sz w:val="32"/>
          <w:szCs w:val="32"/>
        </w:rPr>
        <w:t xml:space="preserve">三、核心结果：k 曲线与最优分配（RQ1/RQ2）</w:t>
      </w:r>
      <w:bookmarkEnd w:id="3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族二（分配族）是本研究的核心推断对象：同一预算 B 内 DeepEns(k) 与 DeepEns(k′) 的全部成对差值，种子内配对，精确符号翻转置换检验，逐 B 做 Holm 校正。主要结局为原始测试 NLL。下表给出全部 12 组对比；等效性按预注册 TOST 判定（双侧 90% 置信区完全落入 ±δ=0.010）。</w:t>
      </w:r>
    </w:p>
    <w:p>
      <w:pPr>
        <w:keepNext/>
        <w:spacing w:after="80" w:before="160" w:line="312"/>
      </w:pPr>
      <w:r>
        <w:rPr>
          <w:rFonts w:ascii="Times New Roman" w:eastAsia="SimHei"/>
          <w:b/>
          <w:bCs/>
          <w:color w:val="0B1C2C"/>
          <w:sz w:val="21"/>
          <w:szCs w:val="21"/>
        </w:rPr>
        <w:t xml:space="preserve">表 3-1 族二：DeepEns(k′)−DeepEns(k) 配对差（NLL，n=10 种子）</w:t>
      </w:r>
    </w:p>
    <w:tbl>
      <w:tblPr>
        <w:tblW w:type="pct" w:w="5000"/>
        <w:tblBorders>
          <w:top w:val="single" w:color="529286" w:sz="4"/>
          <w:left w:val="none" w:color="FFFFFF" w:sz="0"/>
          <w:bottom w:val="single" w:color="529286" w:sz="4"/>
          <w:right w:val="none" w:color="FFFFFF" w:sz="0"/>
          <w:insideH w:val="single" w:color="BECFCC" w:sz="1"/>
          <w:insideV w:val="none" w:color="FFFFFF" w:sz="0"/>
        </w:tblBorders>
      </w:tblPr>
      <w:tblGrid>
        <w:gridCol w:w="703"/>
        <w:gridCol w:w="1055"/>
        <w:gridCol w:w="1055"/>
        <w:gridCol w:w="2109"/>
        <w:gridCol w:w="1055"/>
        <w:gridCol w:w="1055"/>
        <w:gridCol w:w="1055"/>
      </w:tblGrid>
      <w:tr>
        <w:trPr>
          <w:cantSplit/>
          <w:tblHeader/>
        </w:trPr>
        <w:tc>
          <w:tcPr>
            <w:tcW w:type="pct" w:w="4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预算</w:t>
            </w:r>
          </w:p>
        </w:tc>
        <w:tc>
          <w:tcPr>
            <w:tcW w:type="pct" w:w="6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对比</w:t>
            </w:r>
          </w:p>
        </w:tc>
        <w:tc>
          <w:tcPr>
            <w:tcW w:type="pct" w:w="6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均值差</w:t>
            </w:r>
          </w:p>
        </w:tc>
        <w:tc>
          <w:tcPr>
            <w:tcW w:type="pct" w:w="12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95% CI</w:t>
            </w:r>
          </w:p>
        </w:tc>
        <w:tc>
          <w:tcPr>
            <w:tcW w:type="pct" w:w="6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p(Holm)</w:t>
            </w:r>
          </w:p>
        </w:tc>
        <w:tc>
          <w:tcPr>
            <w:tcW w:type="pct" w:w="6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TOST 等效</w:t>
            </w:r>
          </w:p>
        </w:tc>
        <w:tc>
          <w:tcPr>
            <w:tcW w:type="pct" w:w="6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方向</w:t>
            </w:r>
          </w:p>
        </w:tc>
      </w:tr>
      <w:tr>
        <w:trPr>
          <w:cantSplit/>
        </w:trPr>
        <w:tc>
          <w:tcPr>
            <w:tcW w:type="pct" w:w="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B30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k3−k2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−0.0024</w:t>
            </w:r>
          </w:p>
        </w:tc>
        <w:tc>
          <w:tcPr>
            <w:tcW w:type="pct" w:w="1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[−0.0042, −0.0005]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0.0059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1+/9−</w:t>
            </w:r>
          </w:p>
        </w:tc>
      </w:tr>
      <w:tr>
        <w:trPr>
          <w:cantSplit/>
        </w:trPr>
        <w:tc>
          <w:tcPr>
            <w:tcW w:type="pct" w:w="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B30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k5−k2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+0.0097</w:t>
            </w:r>
          </w:p>
        </w:tc>
        <w:tc>
          <w:tcPr>
            <w:tcW w:type="pct" w:w="1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[+0.0077, +0.0116]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0.0059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否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10+/0−</w:t>
            </w:r>
          </w:p>
        </w:tc>
      </w:tr>
      <w:tr>
        <w:trPr>
          <w:cantSplit/>
        </w:trPr>
        <w:tc>
          <w:tcPr>
            <w:tcW w:type="pct" w:w="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B30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k5−k3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+0.0120</w:t>
            </w:r>
          </w:p>
        </w:tc>
        <w:tc>
          <w:tcPr>
            <w:tcW w:type="pct" w:w="1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[+0.0113, +0.0127]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0.0059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否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10+/0−</w:t>
            </w:r>
          </w:p>
        </w:tc>
      </w:tr>
      <w:tr>
        <w:trPr>
          <w:cantSplit/>
        </w:trPr>
        <w:tc>
          <w:tcPr>
            <w:tcW w:type="pct" w:w="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B60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k3−k2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−0.0297</w:t>
            </w:r>
          </w:p>
        </w:tc>
        <w:tc>
          <w:tcPr>
            <w:tcW w:type="pct" w:w="1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[−0.0332, −0.0263]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0.0059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否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0+/10−</w:t>
            </w:r>
          </w:p>
        </w:tc>
      </w:tr>
      <w:tr>
        <w:trPr>
          <w:cantSplit/>
        </w:trPr>
        <w:tc>
          <w:tcPr>
            <w:tcW w:type="pct" w:w="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B60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k5−k2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−0.0343</w:t>
            </w:r>
          </w:p>
        </w:tc>
        <w:tc>
          <w:tcPr>
            <w:tcW w:type="pct" w:w="1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[−0.0383, −0.0302]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0.0059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否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0+/10−</w:t>
            </w:r>
          </w:p>
        </w:tc>
      </w:tr>
      <w:tr>
        <w:trPr>
          <w:cantSplit/>
        </w:trPr>
        <w:tc>
          <w:tcPr>
            <w:tcW w:type="pct" w:w="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B60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k5−k3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−0.0046</w:t>
            </w:r>
          </w:p>
        </w:tc>
        <w:tc>
          <w:tcPr>
            <w:tcW w:type="pct" w:w="1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[−0.0063, −0.0028]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0.0059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1+/9−</w:t>
            </w:r>
          </w:p>
        </w:tc>
      </w:tr>
      <w:tr>
        <w:trPr>
          <w:cantSplit/>
        </w:trPr>
        <w:tc>
          <w:tcPr>
            <w:tcW w:type="pct" w:w="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B120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k3−k2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−0.0802</w:t>
            </w:r>
          </w:p>
        </w:tc>
        <w:tc>
          <w:tcPr>
            <w:tcW w:type="pct" w:w="1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[−0.0861, −0.0743]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0.0117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否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0+/10−</w:t>
            </w:r>
          </w:p>
        </w:tc>
      </w:tr>
      <w:tr>
        <w:trPr>
          <w:cantSplit/>
        </w:trPr>
        <w:tc>
          <w:tcPr>
            <w:tcW w:type="pct" w:w="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B120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k5−k2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−0.1191</w:t>
            </w:r>
          </w:p>
        </w:tc>
        <w:tc>
          <w:tcPr>
            <w:tcW w:type="pct" w:w="1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[−0.1267, −0.1116]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0.0117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否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0+/10−</w:t>
            </w:r>
          </w:p>
        </w:tc>
      </w:tr>
      <w:tr>
        <w:trPr>
          <w:cantSplit/>
        </w:trPr>
        <w:tc>
          <w:tcPr>
            <w:tcW w:type="pct" w:w="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B120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k8−k2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−0.1248</w:t>
            </w:r>
          </w:p>
        </w:tc>
        <w:tc>
          <w:tcPr>
            <w:tcW w:type="pct" w:w="1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[−0.1315, −0.1180]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0.0117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否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0+/10−</w:t>
            </w:r>
          </w:p>
        </w:tc>
      </w:tr>
      <w:tr>
        <w:trPr>
          <w:cantSplit/>
        </w:trPr>
        <w:tc>
          <w:tcPr>
            <w:tcW w:type="pct" w:w="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B120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k5−k3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−0.0390</w:t>
            </w:r>
          </w:p>
        </w:tc>
        <w:tc>
          <w:tcPr>
            <w:tcW w:type="pct" w:w="1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[−0.0416, −0.0363]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0.0117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否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0+/10−</w:t>
            </w:r>
          </w:p>
        </w:tc>
      </w:tr>
      <w:tr>
        <w:trPr>
          <w:cantSplit/>
        </w:trPr>
        <w:tc>
          <w:tcPr>
            <w:tcW w:type="pct" w:w="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B120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k8−k3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−0.0446</w:t>
            </w:r>
          </w:p>
        </w:tc>
        <w:tc>
          <w:tcPr>
            <w:tcW w:type="pct" w:w="1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[−0.0468, −0.0424]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0.0117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否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0+/10−</w:t>
            </w:r>
          </w:p>
        </w:tc>
      </w:tr>
      <w:tr>
        <w:trPr>
          <w:cantSplit/>
        </w:trPr>
        <w:tc>
          <w:tcPr>
            <w:tcW w:type="pct" w:w="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B120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k8−k5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−0.0056</w:t>
            </w:r>
          </w:p>
        </w:tc>
        <w:tc>
          <w:tcPr>
            <w:tcW w:type="pct" w:w="1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[−0.0068, −0.0044]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0.0117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0+/10−</w:t>
            </w:r>
          </w:p>
        </w:tc>
      </w:tr>
    </w:tbl>
    <w:p>
      <w:pPr>
        <w:spacing w:after="160" w:before="40" w:line="312"/>
      </w:pPr>
      <w:r>
        <w:rPr>
          <w:rFonts w:ascii="Times New Roman" w:eastAsia="SimSun"/>
          <w:i/>
          <w:iCs/>
          <w:color w:val="606060"/>
          <w:sz w:val="21"/>
          <w:szCs w:val="21"/>
        </w:rPr>
        <w:t xml:space="preserve">统计口径：精确符号翻转置换检验（双尾，n=10 时未校正下限 0.0020）；CI 为配对 t 区间；TOST 为两个单侧检验（90% CI 落入 ±0.010 内判定等效）。“统计显著但等效”的组合（如 B30 的 k3−k2 与 B60 的 k5−k3、B120 的 k8−k5）按预注册解释为：差异可检测到，但幅度低于本设计分辨率下的实质意义阈值——这正是等效界值与显著性检验并用的目的。</w:t>
      </w:r>
    </w:p>
    <w:p>
      <w:pPr>
        <w:keepNext/>
        <w:spacing w:after="80" w:before="160" w:line="312"/>
      </w:pPr>
      <w:r>
        <w:rPr>
          <w:rFonts w:ascii="Times New Roman" w:eastAsia="SimHei"/>
          <w:b/>
          <w:bCs/>
          <w:color w:val="0B1C2C"/>
          <w:sz w:val="21"/>
          <w:szCs w:val="21"/>
        </w:rPr>
        <w:t xml:space="preserve">表 3-2 k 曲线：DeepEns 平均 NLL（±跨种子标准差）与每成员长度 e=B/k</w:t>
      </w:r>
    </w:p>
    <w:tbl>
      <w:tblPr>
        <w:tblW w:type="pct" w:w="5000"/>
        <w:tblBorders>
          <w:top w:val="single" w:color="529286" w:sz="4"/>
          <w:left w:val="none" w:color="FFFFFF" w:sz="0"/>
          <w:bottom w:val="single" w:color="529286" w:sz="4"/>
          <w:right w:val="none" w:color="FFFFFF" w:sz="0"/>
          <w:insideH w:val="single" w:color="BECFCC" w:sz="1"/>
          <w:insideV w:val="none" w:color="FFFFFF" w:sz="0"/>
        </w:tblBorders>
      </w:tblPr>
      <w:tblGrid>
        <w:gridCol w:w="1055"/>
        <w:gridCol w:w="1670"/>
        <w:gridCol w:w="1670"/>
        <w:gridCol w:w="1670"/>
        <w:gridCol w:w="1230"/>
        <w:gridCol w:w="1494"/>
      </w:tblGrid>
      <w:tr>
        <w:trPr>
          <w:cantSplit/>
          <w:tblHeader/>
        </w:trPr>
        <w:tc>
          <w:tcPr>
            <w:tcW w:type="pct" w:w="6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预算 B</w:t>
            </w:r>
          </w:p>
        </w:tc>
        <w:tc>
          <w:tcPr>
            <w:tcW w:type="pct" w:w="95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k=2</w:t>
            </w:r>
          </w:p>
        </w:tc>
        <w:tc>
          <w:tcPr>
            <w:tcW w:type="pct" w:w="95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k=3</w:t>
            </w:r>
          </w:p>
        </w:tc>
        <w:tc>
          <w:tcPr>
            <w:tcW w:type="pct" w:w="95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k=5</w:t>
            </w:r>
          </w:p>
        </w:tc>
        <w:tc>
          <w:tcPr>
            <w:tcW w:type="pct" w:w="7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k=8</w:t>
            </w:r>
          </w:p>
        </w:tc>
        <w:tc>
          <w:tcPr>
            <w:tcW w:type="pct" w:w="85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最优 k*(等效区间)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B30</w:t>
            </w:r>
          </w:p>
        </w:tc>
        <w:tc>
          <w:tcPr>
            <w:tcW w:type="pct" w:w="9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0.3065±0.0026</w:t>
            </w:r>
          </w:p>
        </w:tc>
        <w:tc>
          <w:tcPr>
            <w:tcW w:type="pct" w:w="9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0.3041±0.0014</w:t>
            </w:r>
          </w:p>
        </w:tc>
        <w:tc>
          <w:tcPr>
            <w:tcW w:type="pct" w:w="9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0.3161±0.0010</w:t>
            </w:r>
          </w:p>
        </w:tc>
        <w:tc>
          <w:tcPr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pct" w:w="8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k*=3（k2–k3）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B60</w:t>
            </w:r>
          </w:p>
        </w:tc>
        <w:tc>
          <w:tcPr>
            <w:tcW w:type="pct" w:w="9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0.3317±0.0049</w:t>
            </w:r>
          </w:p>
        </w:tc>
        <w:tc>
          <w:tcPr>
            <w:tcW w:type="pct" w:w="9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0.3020±0.0019</w:t>
            </w:r>
          </w:p>
        </w:tc>
        <w:tc>
          <w:tcPr>
            <w:tcW w:type="pct" w:w="9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0.2974±0.0015</w:t>
            </w:r>
          </w:p>
        </w:tc>
        <w:tc>
          <w:tcPr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pct" w:w="8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k*∈[3,5]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B120</w:t>
            </w:r>
          </w:p>
        </w:tc>
        <w:tc>
          <w:tcPr>
            <w:tcW w:type="pct" w:w="9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0.4157±0.0097</w:t>
            </w:r>
          </w:p>
        </w:tc>
        <w:tc>
          <w:tcPr>
            <w:tcW w:type="pct" w:w="9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0.3355±0.0033</w:t>
            </w:r>
          </w:p>
        </w:tc>
        <w:tc>
          <w:tcPr>
            <w:tcW w:type="pct" w:w="9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0.2965±0.0023</w:t>
            </w:r>
          </w:p>
        </w:tc>
        <w:tc>
          <w:tcPr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0.2909±0.0012</w:t>
            </w:r>
          </w:p>
        </w:tc>
        <w:tc>
          <w:tcPr>
            <w:tcW w:type="pct" w:w="8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k*∈[5,8]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e=B/k</w:t>
            </w:r>
          </w:p>
        </w:tc>
        <w:tc>
          <w:tcPr>
            <w:tcW w:type="pct" w:w="9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15/30/60</w:t>
            </w:r>
          </w:p>
        </w:tc>
        <w:tc>
          <w:tcPr>
            <w:tcW w:type="pct" w:w="9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10/20/40</w:t>
            </w:r>
          </w:p>
        </w:tc>
        <w:tc>
          <w:tcPr>
            <w:tcW w:type="pct" w:w="9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6/12/24</w:t>
            </w:r>
          </w:p>
        </w:tc>
        <w:tc>
          <w:tcPr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pct" w:w="8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读法与结论：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（1）B30 的 k 曲线为倒 U 形（k3 峰值，k5 落入欠拟合区）；B60 与 B120 为单调改善且边际递减（B120 的 k5→k8 增益 −0.0056 进入等效界）。（2）固定 k 跨 B 的纵向读法揭示机制：k=2 时 e=15/30/60 对应 0.3065/0.3317/0.4157——长成员持续恶化；k=5 时 e=6/12/24 对应 0.3161/0.2974/0.2965——e=6 欠拟合、e≥12 进入甜区；k=3 时 e=10/20/40 对应 0.3041/0.3020/0.3355——e≤20 稳定、e=40 恶化。（3）合并三点：DeepEns NLL 是 e 的倒 U 函数，甜区 e∈[10,24]；三个预算的最优 k 全部使 e 落入该区间，故 k*(B)≈B/18，等效区间 [B/24, B/12]。</w:t>
      </w:r>
    </w:p>
    <w:p>
      <w:pPr>
        <w:pStyle w:val="Heading1"/>
        <w:spacing w:after="160" w:before="360" w:line="312"/>
      </w:pPr>
      <w:bookmarkStart w:name="_Toc4" w:id="4"/>
      <w:r>
        <w:rPr>
          <w:rFonts w:ascii="Times New Roman" w:eastAsia="SimHei"/>
          <w:b/>
          <w:bCs/>
          <w:color w:val="0B1C2C"/>
          <w:sz w:val="32"/>
          <w:szCs w:val="32"/>
        </w:rPr>
        <w:t xml:space="preserve">四、放大规律与机制分解（H2/RQ2）</w:t>
      </w:r>
      <w:bookmarkEnd w:id="4"/>
    </w:p>
    <w:p>
      <w:pPr>
        <w:keepNext/>
        <w:spacing w:after="80" w:before="160" w:line="312"/>
      </w:pPr>
      <w:r>
        <w:rPr>
          <w:rFonts w:ascii="Times New Roman" w:eastAsia="SimHei"/>
          <w:b/>
          <w:bCs/>
          <w:color w:val="0B1C2C"/>
          <w:sz w:val="21"/>
          <w:szCs w:val="21"/>
        </w:rPr>
        <w:t xml:space="preserve">表 4-1 DeepEns−Single 差距随预算的放大（k=3，n=10 配对）</w:t>
      </w:r>
    </w:p>
    <w:tbl>
      <w:tblPr>
        <w:tblW w:type="pct" w:w="5000"/>
        <w:tblBorders>
          <w:top w:val="single" w:color="529286" w:sz="4"/>
          <w:left w:val="none" w:color="FFFFFF" w:sz="0"/>
          <w:bottom w:val="single" w:color="529286" w:sz="4"/>
          <w:right w:val="none" w:color="FFFFFF" w:sz="0"/>
          <w:insideH w:val="single" w:color="BECFCC" w:sz="1"/>
          <w:insideV w:val="none" w:color="FFFFFF" w:sz="0"/>
        </w:tblBorders>
      </w:tblPr>
      <w:tblGrid>
        <w:gridCol w:w="879"/>
        <w:gridCol w:w="1142"/>
        <w:gridCol w:w="1933"/>
        <w:gridCol w:w="1055"/>
        <w:gridCol w:w="1142"/>
        <w:gridCol w:w="1055"/>
        <w:gridCol w:w="1142"/>
      </w:tblGrid>
      <w:tr>
        <w:trPr>
          <w:cantSplit/>
          <w:tblHeader/>
        </w:trPr>
        <w:tc>
          <w:tcPr>
            <w:tcW w:type="pct" w:w="5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预算</w:t>
            </w:r>
          </w:p>
        </w:tc>
        <w:tc>
          <w:tcPr>
            <w:tcW w:type="pct" w:w="65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DE−SG 差距</w:t>
            </w:r>
          </w:p>
        </w:tc>
        <w:tc>
          <w:tcPr>
            <w:tcW w:type="pct" w:w="11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95% CI</w:t>
            </w:r>
          </w:p>
        </w:tc>
        <w:tc>
          <w:tcPr>
            <w:tcW w:type="pct" w:w="6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p（置换）</w:t>
            </w:r>
          </w:p>
        </w:tc>
        <w:tc>
          <w:tcPr>
            <w:tcW w:type="pct" w:w="65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Single NLL</w:t>
            </w:r>
          </w:p>
        </w:tc>
        <w:tc>
          <w:tcPr>
            <w:tcW w:type="pct" w:w="6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DE NLL</w:t>
            </w:r>
          </w:p>
        </w:tc>
        <w:tc>
          <w:tcPr>
            <w:tcW w:type="pct" w:w="65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成员 NLL</w:t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B30</w:t>
            </w:r>
          </w:p>
        </w:tc>
        <w:tc>
          <w:tcPr>
            <w:tcW w:type="pct" w:w="6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−0.0754</w:t>
            </w:r>
          </w:p>
        </w:tc>
        <w:tc>
          <w:tcPr>
            <w:tcW w:type="pct" w:w="1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[−0.0809, −0.0699]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0.0020</w:t>
            </w:r>
          </w:p>
        </w:tc>
        <w:tc>
          <w:tcPr>
            <w:tcW w:type="pct" w:w="6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0.3795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0.3041</w:t>
            </w:r>
          </w:p>
        </w:tc>
        <w:tc>
          <w:tcPr>
            <w:tcW w:type="pct" w:w="6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0.3205</w:t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B60</w:t>
            </w:r>
          </w:p>
        </w:tc>
        <w:tc>
          <w:tcPr>
            <w:tcW w:type="pct" w:w="6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−0.2245</w:t>
            </w:r>
          </w:p>
        </w:tc>
        <w:tc>
          <w:tcPr>
            <w:tcW w:type="pct" w:w="1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[−0.2360, −0.2130]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0.0020</w:t>
            </w:r>
          </w:p>
        </w:tc>
        <w:tc>
          <w:tcPr>
            <w:tcW w:type="pct" w:w="6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0.5265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0.3020</w:t>
            </w:r>
          </w:p>
        </w:tc>
        <w:tc>
          <w:tcPr>
            <w:tcW w:type="pct" w:w="6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0.3379</w:t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B120</w:t>
            </w:r>
          </w:p>
        </w:tc>
        <w:tc>
          <w:tcPr>
            <w:tcW w:type="pct" w:w="6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−0.3317</w:t>
            </w:r>
          </w:p>
        </w:tc>
        <w:tc>
          <w:tcPr>
            <w:tcW w:type="pct" w:w="1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[−0.3416, −0.3219]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0.0020</w:t>
            </w:r>
          </w:p>
        </w:tc>
        <w:tc>
          <w:tcPr>
            <w:tcW w:type="pct" w:w="6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0.6672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0.3355</w:t>
            </w:r>
          </w:p>
        </w:tc>
        <w:tc>
          <w:tcPr>
            <w:tcW w:type="pct" w:w="6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0.4276</w:t>
            </w:r>
          </w:p>
        </w:tc>
      </w:tr>
    </w:tbl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三个差距的配对置换检验均为可达下限 p=0.0020（十种子同号）。机制分解（预注册 RQ2 假说）：30→120 区间差距共增长 0.2562 nats，其中 Single 恶化贡献 0.2877 nats（112%），DeepEns(k3) 自身变化 +0.0314（−12%，即 DE 轻微恶化反而吸收了部分差距）；30→60 区间 Single 贡献份额 98.6%，60→120 区间 131%（DE 在该区间由 0.3020 微升至 0.3355）。结论与预注册机制假说一致：放大的第一驱动力是单模型随训练时长恶化（过度自信），集成成员在 e≤24 时基本免疫该恶化。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“固定 e 时集成 NLL 基本不随 B 变化”的检验存在网格限制：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S1 网格内唯一固定 e 的跨预算对是 e=15（B30×k2 vs B120×k8），其差 −0.0156 超出 δ=0.010 且 TOST 拒绝等效——但该对同时改变了成员数（2 vs 8），无法分离 e 效应与 k 效应，只能作为受混杂的探索性证据登记。支持“固定 e 稳定”的宽松证据：e∈[12,24] 邻近带内的 DE NLL 变化不超过 0.011（0.2909–0.3020）。S2 的 B240×k8（e=30）与 B240×k12（若加跑）可提供更干净的固定 e 对照；当前按预注册口径，H2 的“固定 e”子句降格为带证据的近似表述。</w:t>
      </w:r>
    </w:p>
    <w:p>
      <w:pPr>
        <w:pStyle w:val="Heading1"/>
        <w:spacing w:after="160" w:before="360" w:line="312"/>
      </w:pPr>
      <w:bookmarkStart w:name="_Toc5" w:id="5"/>
      <w:r>
        <w:rPr>
          <w:rFonts w:ascii="Times New Roman" w:eastAsia="SimHei"/>
          <w:b/>
          <w:bCs/>
          <w:color w:val="0B1C2C"/>
          <w:sz w:val="32"/>
          <w:szCs w:val="32"/>
        </w:rPr>
        <w:t xml:space="preserve">五、预注册假设判定（S1 范围）</w:t>
      </w:r>
      <w:bookmarkEnd w:id="5"/>
    </w:p>
    <w:p>
      <w:pPr>
        <w:keepNext/>
        <w:spacing w:after="80" w:before="160" w:line="312"/>
      </w:pPr>
      <w:r>
        <w:rPr>
          <w:rFonts w:ascii="Times New Roman" w:eastAsia="SimHei"/>
          <w:b/>
          <w:bCs/>
          <w:color w:val="0B1C2C"/>
          <w:sz w:val="21"/>
          <w:szCs w:val="21"/>
        </w:rPr>
        <w:t xml:space="preserve">表 5-1 假设判定对照（判据原文见预注册计划表 3-1）</w:t>
      </w:r>
    </w:p>
    <w:tbl>
      <w:tblPr>
        <w:tblW w:type="pct" w:w="5000"/>
        <w:tblBorders>
          <w:top w:val="single" w:color="529286" w:sz="4"/>
          <w:left w:val="none" w:color="FFFFFF" w:sz="0"/>
          <w:bottom w:val="single" w:color="529286" w:sz="4"/>
          <w:right w:val="none" w:color="FFFFFF" w:sz="0"/>
          <w:insideH w:val="single" w:color="BECFCC" w:sz="1"/>
          <w:insideV w:val="none" w:color="FFFFFF" w:sz="0"/>
        </w:tblBorders>
      </w:tblPr>
      <w:tblGrid>
        <w:gridCol w:w="2636"/>
        <w:gridCol w:w="3691"/>
        <w:gridCol w:w="2461"/>
      </w:tblGrid>
      <w:tr>
        <w:trPr>
          <w:cantSplit/>
          <w:tblHeader/>
        </w:trPr>
        <w:tc>
          <w:tcPr>
            <w:tcW w:type="pct" w:w="15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假设</w:t>
            </w:r>
          </w:p>
        </w:tc>
        <w:tc>
          <w:tcPr>
            <w:tcW w:type="pct" w:w="21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S1 数据</w:t>
            </w:r>
          </w:p>
        </w:tc>
        <w:tc>
          <w:tcPr>
            <w:tcW w:type="pct" w:w="14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判定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H1 饱和：B≥60 时 DE 的 NLL 随 k 改善但边际递减；B120 时 k5 与 k8 差距在等效界内</w:t>
            </w:r>
          </w:p>
        </w:tc>
        <w:tc>
          <w:tcPr>
            <w:tcW w:type="pct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B60: k3→k5 增益 −0.0046（等效）；B120: k5→k8 增益 −0.0056（等效，TOST CI90 [−0.0066, −0.0046]）；k 曲线未在 k≤2 饱和</w:t>
            </w:r>
          </w:p>
        </w:tc>
        <w:tc>
          <w:tcPr>
            <w:tcW w:type="pct" w:w="1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支持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H2 放大：DE−SG 差距随 B 单调扩大且主要由 Single 恶化贡献</w:t>
            </w:r>
          </w:p>
        </w:tc>
        <w:tc>
          <w:tcPr>
            <w:tcW w:type="pct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−0.0754→−0.2245→−0.3317，全 p=0.0020；Single 贡献份额 99–131%；“固定 e≈20”子句受网格限制降格为近似（见第四节）</w:t>
            </w:r>
          </w:p>
        </w:tc>
        <w:tc>
          <w:tcPr>
            <w:tcW w:type="pct" w:w="1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支持（一子句降格）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H3 快照差距：DE−SN 差距随 k 增大收窄</w:t>
            </w:r>
          </w:p>
        </w:tc>
        <w:tc>
          <w:tcPr>
            <w:tcW w:type="pct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B30: −0.0170→−0.0083→+0.0096（k5 处反转为显著正值，p=0.002）；B120: k2→k3 平坦（−0.1034→−0.1034）</w:t>
            </w:r>
          </w:p>
        </w:tc>
        <w:tc>
          <w:tcPr>
            <w:tcW w:type="pct" w:w="1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推翻（按预注册失败判据如实报告）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H5 温度缩放：TS 压缩但不消除 B≥60 的 k 效应与 DE−SG 差距；B30 趋于拉平</w:t>
            </w:r>
          </w:p>
        </w:tc>
        <w:tc>
          <w:tcPr>
            <w:tcW w:type="pct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TS 后 DE−SG(k3): −0.0114/−0.0434/−0.0567（全 p=0.0020，保留）；B120 的 k5−k2=−0.0266 仍显著；但 TS 后 B30 的 k 效应仍显著且最优 k 移至 k2（k3−k2=+0.0043, p=0.0059）——“拉平”表述不符</w:t>
            </w:r>
          </w:p>
        </w:tc>
        <w:tc>
          <w:tcPr>
            <w:tcW w:type="pct" w:w="1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部分支持（后半句修正）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H4 边界（MNIST 衰减/CIFAR 放大）</w:t>
            </w:r>
          </w:p>
        </w:tc>
        <w:tc>
          <w:tcPr>
            <w:tcW w:type="pct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S1 未涉及（S3 范围）</w:t>
            </w:r>
          </w:p>
        </w:tc>
        <w:tc>
          <w:tcPr>
            <w:tcW w:type="pct" w:w="1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待 S3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H6 推理成本</w:t>
            </w:r>
          </w:p>
        </w:tc>
        <w:tc>
          <w:tcPr>
            <w:tcW w:type="pct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S1 未涉及（A2 范围）</w:t>
            </w:r>
          </w:p>
        </w:tc>
        <w:tc>
          <w:tcPr>
            <w:tcW w:type="pct" w:w="1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待 A2</w:t>
            </w:r>
          </w:p>
        </w:tc>
      </w:tr>
    </w:tbl>
    <w:p>
      <w:pPr>
        <w:spacing w:after="6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H3 推翻的附带发现具有独立价值：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当每成员训练长度被压到 e=6 时，独立重启的 DeepEns 反而显著差于快照集成（B30×k5：DE−SN=+0.0096，p=0.002）。机制解释（探索性）：循环末端快照虽同样只训练 6 epochs，但它位于完整 cosine 退火循环的末端（学习率已降至 0），而独立成员的 6-epoch 单循环同样有退火——两者差异更可能来自数据顺序与初始化的多样性损失，及欠拟合成员的校准缺陷被平均放大。该发现写入论文时须保持探索性定位（成员级 JSD：B30k5 为 0.0068，低于 B60k5 的 0.0101 与 B120k5 的 0.0174，支持多样性不足解释）。</w:t>
      </w:r>
    </w:p>
    <w:p>
      <w:pPr>
        <w:pStyle w:val="Heading1"/>
        <w:spacing w:after="160" w:before="360" w:line="312"/>
      </w:pPr>
      <w:bookmarkStart w:name="_Toc6" w:id="6"/>
      <w:r>
        <w:rPr>
          <w:rFonts w:ascii="Times New Roman" w:eastAsia="SimHei"/>
          <w:b/>
          <w:bCs/>
          <w:color w:val="0B1C2C"/>
          <w:sz w:val="32"/>
          <w:szCs w:val="32"/>
        </w:rPr>
        <w:t xml:space="preserve">六、温度缩放对最优分配的影响（新知识）</w:t>
      </w:r>
      <w:bookmarkEnd w:id="6"/>
    </w:p>
    <w:p>
      <w:pPr>
        <w:keepNext/>
        <w:spacing w:after="80" w:before="160" w:line="312"/>
      </w:pPr>
      <w:r>
        <w:rPr>
          <w:rFonts w:ascii="Times New Roman" w:eastAsia="SimHei"/>
          <w:b/>
          <w:bCs/>
          <w:color w:val="0B1C2C"/>
          <w:sz w:val="21"/>
          <w:szCs w:val="21"/>
        </w:rPr>
        <w:t xml:space="preserve">表 6-1 TS 后的 k 曲线（DeepEns TS-NLL 均值）与 raw 最优对照</w:t>
      </w:r>
    </w:p>
    <w:tbl>
      <w:tblPr>
        <w:tblW w:type="pct" w:w="5000"/>
        <w:tblBorders>
          <w:top w:val="single" w:color="529286" w:sz="4"/>
          <w:left w:val="none" w:color="FFFFFF" w:sz="0"/>
          <w:bottom w:val="single" w:color="529286" w:sz="4"/>
          <w:right w:val="none" w:color="FFFFFF" w:sz="0"/>
          <w:insideH w:val="single" w:color="BECFCC" w:sz="1"/>
          <w:insideV w:val="none" w:color="FFFFFF" w:sz="0"/>
        </w:tblBorders>
      </w:tblPr>
      <w:tblGrid>
        <w:gridCol w:w="879"/>
        <w:gridCol w:w="1230"/>
        <w:gridCol w:w="1230"/>
        <w:gridCol w:w="1230"/>
        <w:gridCol w:w="1055"/>
        <w:gridCol w:w="1406"/>
        <w:gridCol w:w="1406"/>
      </w:tblGrid>
      <w:tr>
        <w:trPr>
          <w:cantSplit/>
          <w:tblHeader/>
        </w:trPr>
        <w:tc>
          <w:tcPr>
            <w:tcW w:type="pct" w:w="5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预算</w:t>
            </w:r>
          </w:p>
        </w:tc>
        <w:tc>
          <w:tcPr>
            <w:tcW w:type="pct" w:w="7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k=2</w:t>
            </w:r>
          </w:p>
        </w:tc>
        <w:tc>
          <w:tcPr>
            <w:tcW w:type="pct" w:w="7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k=3</w:t>
            </w:r>
          </w:p>
        </w:tc>
        <w:tc>
          <w:tcPr>
            <w:tcW w:type="pct" w:w="7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k=5</w:t>
            </w:r>
          </w:p>
        </w:tc>
        <w:tc>
          <w:tcPr>
            <w:tcW w:type="pct" w:w="6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k=8</w:t>
            </w:r>
          </w:p>
        </w:tc>
        <w:tc>
          <w:tcPr>
            <w:tcW w:type="pct" w:w="8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raw 最优 k</w:t>
            </w:r>
          </w:p>
        </w:tc>
        <w:tc>
          <w:tcPr>
            <w:tcW w:type="pct" w:w="8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TS 后最优 k</w:t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B30</w:t>
            </w:r>
          </w:p>
        </w:tc>
        <w:tc>
          <w:tcPr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0.2969</w:t>
            </w:r>
          </w:p>
        </w:tc>
        <w:tc>
          <w:tcPr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0.3013</w:t>
            </w:r>
          </w:p>
        </w:tc>
        <w:tc>
          <w:tcPr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0.3159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pct" w:w="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k3</w:t>
            </w:r>
          </w:p>
        </w:tc>
        <w:tc>
          <w:tcPr>
            <w:tcW w:type="pct" w:w="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k2</w:t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B60</w:t>
            </w:r>
          </w:p>
        </w:tc>
        <w:tc>
          <w:tcPr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0.2955</w:t>
            </w:r>
          </w:p>
        </w:tc>
        <w:tc>
          <w:tcPr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0.2891</w:t>
            </w:r>
          </w:p>
        </w:tc>
        <w:tc>
          <w:tcPr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0.2942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pct" w:w="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k3/k5</w:t>
            </w:r>
          </w:p>
        </w:tc>
        <w:tc>
          <w:tcPr>
            <w:tcW w:type="pct" w:w="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k3</w:t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B120</w:t>
            </w:r>
          </w:p>
        </w:tc>
        <w:tc>
          <w:tcPr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0.3098</w:t>
            </w:r>
          </w:p>
        </w:tc>
        <w:tc>
          <w:tcPr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0.2917</w:t>
            </w:r>
          </w:p>
        </w:tc>
        <w:tc>
          <w:tcPr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0.2831</w:t>
            </w:r>
          </w:p>
        </w:tc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0.2865</w:t>
            </w:r>
          </w:p>
        </w:tc>
        <w:tc>
          <w:tcPr>
            <w:tcW w:type="pct" w:w="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k5/k8</w:t>
            </w:r>
          </w:p>
        </w:tc>
        <w:tc>
          <w:tcPr>
            <w:tcW w:type="pct" w:w="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k5</w:t>
            </w:r>
          </w:p>
        </w:tc>
      </w:tr>
    </w:tbl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TS 后的分配族（逐 B Holm）：B120 的 k5−k2=−0.0266 与 k5−k3=−0.0086 仍显著，k8−k5=+0.0033 反转为显著正值；B60 的 k5−k2=−0.0013 不再显著而 k3−k5=+0.0050 显著。系统模式：TS 后最优 k 比 raw 最优 k 低一档，且 TS 后各预算间的绝对差异收窄（B120 最优 0.2831 vs B30 最优 0.2969，跨预算差距 0.014，小于 raw 口径的 0.013 但形状不同）。实践规则（探索性归纳，写入论文时保持该定位）：若部署环境允许在验证集上做温度后校准，应选择更长成员（更少 k）以换取判别力；若不允许，应选择更多成员以换取原生校准。该规则的多指标一致性（ECE、Brier、AUROC 口径的 k* 是否同向移动）留待全量表格核验。</w:t>
      </w:r>
    </w:p>
    <w:p>
      <w:pPr>
        <w:pStyle w:val="Heading1"/>
        <w:spacing w:after="160" w:before="360" w:line="312"/>
      </w:pPr>
      <w:bookmarkStart w:name="_Toc7" w:id="7"/>
      <w:r>
        <w:rPr>
          <w:rFonts w:ascii="Times New Roman" w:eastAsia="SimHei"/>
          <w:b/>
          <w:bCs/>
          <w:color w:val="0B1C2C"/>
          <w:sz w:val="32"/>
          <w:szCs w:val="32"/>
        </w:rPr>
        <w:t xml:space="preserve">七、族一：v4 排序假设在 10 个新设置下的确认</w:t>
      </w:r>
      <w:bookmarkEnd w:id="7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族一沿用 v4 的五对比族（DE−SG、SN−SG、SWA−SG、DE−SN、SN−SWA），逐 (B,k) 设置内 Holm 校正。S1 的 10 个设置 × 5 对比 = 50 组检验全部显著（p_holm=0.0098，全部 10/10 种子同号），v4 的条件排序 DeepEns &lt; Snapshot &lt; SWA &lt; Single 在扩大的网格上完整复现；唯一例外仍是 B30×k5 的 DE−SN 方向（+0.0096，快照反超，与 H3 推翻同源）。该族在新数据中的全面确认意味着 v5 论文可以把四条件排序作为稳定背景陈述，而将推断重心放在族二（分配结构）上——这正是与 v4 论文的差异化定位。</w:t>
      </w:r>
    </w:p>
    <w:p>
      <w:pPr>
        <w:pStyle w:val="Heading1"/>
        <w:spacing w:after="160" w:before="360" w:line="312"/>
      </w:pPr>
      <w:bookmarkStart w:name="_Toc8" w:id="8"/>
      <w:r>
        <w:rPr>
          <w:rFonts w:ascii="Times New Roman" w:eastAsia="SimHei"/>
          <w:b/>
          <w:bCs/>
          <w:color w:val="0B1C2C"/>
          <w:sz w:val="32"/>
          <w:szCs w:val="32"/>
        </w:rPr>
        <w:t xml:space="preserve">八、偏离登记（预注册第八节承诺）</w:t>
      </w:r>
      <w:bookmarkEnd w:id="8"/>
    </w:p>
    <w:tbl>
      <w:tblPr>
        <w:tblW w:type="pct" w:w="5000"/>
        <w:tblBorders>
          <w:top w:val="single" w:color="529286" w:sz="4"/>
          <w:left w:val="none" w:color="FFFFFF" w:sz="0"/>
          <w:bottom w:val="single" w:color="529286" w:sz="4"/>
          <w:right w:val="none" w:color="FFFFFF" w:sz="0"/>
          <w:insideH w:val="single" w:color="BECFCC" w:sz="1"/>
          <w:insideV w:val="none" w:color="FFFFFF" w:sz="0"/>
        </w:tblBorders>
      </w:tblPr>
      <w:tblGrid>
        <w:gridCol w:w="703"/>
        <w:gridCol w:w="4570"/>
        <w:gridCol w:w="3515"/>
      </w:tblGrid>
      <w:tr>
        <w:trPr>
          <w:cantSplit/>
          <w:tblHeader/>
        </w:trPr>
        <w:tc>
          <w:tcPr>
            <w:tcW w:type="pct" w:w="4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编号</w:t>
            </w:r>
          </w:p>
        </w:tc>
        <w:tc>
          <w:tcPr>
            <w:tcW w:type="pct" w:w="26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偏离</w:t>
            </w:r>
          </w:p>
        </w:tc>
        <w:tc>
          <w:tcPr>
            <w:tcW w:type="pct" w:w="20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处置</w:t>
            </w:r>
          </w:p>
        </w:tc>
      </w:tr>
      <w:tr>
        <w:trPr>
          <w:cantSplit/>
        </w:trPr>
        <w:tc>
          <w:tcPr>
            <w:tcW w:type="pct" w:w="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D1</w:t>
            </w:r>
          </w:p>
        </w:tc>
        <w:tc>
          <w:tcPr>
            <w:tcW w:type="pct" w:w="2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宿主 Python 3.12.14→3.12.15（会话环境重置；torch 2.14.1+cpu 与 numpy 2.1.3 与冒烟记录完全一致）</w:t>
            </w:r>
          </w:p>
        </w:tc>
        <w:tc>
          <w:tcPr>
            <w:tcW w:type="pct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登记；跨版本位级对照（I4）证明数值路径未受影响</w:t>
            </w:r>
          </w:p>
        </w:tc>
      </w:tr>
      <w:tr>
        <w:trPr>
          <w:cantSplit/>
        </w:trPr>
        <w:tc>
          <w:tcPr>
            <w:tcW w:type="pct" w:w="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D2</w:t>
            </w:r>
          </w:p>
        </w:tc>
        <w:tc>
          <w:tcPr>
            <w:tcW w:type="pct" w:w="2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H2“固定 e≈20”子句在 S1 网格内无同 k 跨 B 对照；唯一固定 e 对（e=15）受成员数混杂</w:t>
            </w:r>
          </w:p>
        </w:tc>
        <w:tc>
          <w:tcPr>
            <w:tcW w:type="pct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降格为近似表述（e∈[12,24] 带证据）；S2 可提供补充对照</w:t>
            </w:r>
          </w:p>
        </w:tc>
      </w:tr>
      <w:tr>
        <w:trPr>
          <w:cantSplit/>
        </w:trPr>
        <w:tc>
          <w:tcPr>
            <w:tcW w:type="pct" w:w="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D3</w:t>
            </w:r>
          </w:p>
        </w:tc>
        <w:tc>
          <w:tcPr>
            <w:tcW w:type="pct" w:w="2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B30 的 k 曲线形状为倒 U（k3 峰值），超出 G1 预列形状类型（单调改善/饱和/平坦）</w:t>
            </w:r>
          </w:p>
        </w:tc>
        <w:tc>
          <w:tcPr>
            <w:tcW w:type="pct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按诚实原则扩展归类登记：倒 U 为稳定形状（方向 9–10/10），G1 的实质判据（形状稳定+方向一致）满足</w:t>
            </w:r>
          </w:p>
        </w:tc>
      </w:tr>
      <w:tr>
        <w:trPr>
          <w:cantSplit/>
        </w:trPr>
        <w:tc>
          <w:tcPr>
            <w:tcW w:type="pct" w:w="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D4</w:t>
            </w:r>
          </w:p>
        </w:tc>
        <w:tc>
          <w:tcPr>
            <w:tcW w:type="pct" w:w="2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H5 后半句“B30 处趋于拉平”与数据不符（TS 后 B30 的 k 效应仍显著且最优 k 移至 k2）</w:t>
            </w:r>
          </w:p>
        </w:tc>
        <w:tc>
          <w:tcPr>
            <w:tcW w:type="pct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按预注册失败判据修正表述；TS 后分配变化作为新发现报告（第六节）</w:t>
            </w:r>
          </w:p>
        </w:tc>
      </w:tr>
      <w:tr>
        <w:trPr>
          <w:cantSplit/>
        </w:trPr>
        <w:tc>
          <w:tcPr>
            <w:tcW w:type="pct" w:w="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D5</w:t>
            </w:r>
          </w:p>
        </w:tc>
        <w:tc>
          <w:tcPr>
            <w:tcW w:type="pct" w:w="2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实际 wallclock 2.30 h 显著低于估算 5–6 h（CPU 性能差异）</w:t>
            </w:r>
          </w:p>
        </w:tc>
        <w:tc>
          <w:tcPr>
            <w:tcW w:type="pct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登记；预算内完成，无处置需要</w:t>
            </w:r>
          </w:p>
        </w:tc>
      </w:tr>
    </w:tbl>
    <w:p>
      <w:pPr>
        <w:pStyle w:val="Heading1"/>
        <w:spacing w:after="160" w:before="360" w:line="312"/>
      </w:pPr>
      <w:bookmarkStart w:name="_Toc9" w:id="9"/>
      <w:r>
        <w:rPr>
          <w:rFonts w:ascii="Times New Roman" w:eastAsia="SimHei"/>
          <w:b/>
          <w:bCs/>
          <w:color w:val="0B1C2C"/>
          <w:sz w:val="32"/>
          <w:szCs w:val="32"/>
        </w:rPr>
        <w:t xml:space="preserve">九、G1 判定与后续阶段建议</w:t>
      </w:r>
      <w:bookmarkEnd w:id="9"/>
    </w:p>
    <w:p>
      <w:pPr>
        <w:spacing w:after="6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G1 判定（预注册表 7-2）：通过。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（1）k 曲线形状可归类：B60 单调改善（k≥3 后进入等效平台）、B120 单调改善（k≥5 后进入等效平台）、B30 为稳定倒 U（D3 登记）。（2）全部配对方向一致：12 组分配配对的方向一致性为 9–10/10 种子，无方向混乱。（3）方差未超出等效界：全部 CI 宽度 0.002–0.018，与预注册分辨率一致。三项条件满足，S2 获得启动授权；无需扩种子至 15。</w:t>
      </w:r>
    </w:p>
    <w:p>
      <w:pPr>
        <w:keepNext/>
        <w:spacing w:after="80" w:before="160" w:line="312"/>
      </w:pPr>
      <w:r>
        <w:rPr>
          <w:rFonts w:ascii="Times New Roman" w:eastAsia="SimHei"/>
          <w:b/>
          <w:bCs/>
          <w:color w:val="0B1C2C"/>
          <w:sz w:val="21"/>
          <w:szCs w:val="21"/>
        </w:rPr>
        <w:t xml:space="preserve">表 9-1 后续阶段建议（按预注册网格）</w:t>
      </w:r>
    </w:p>
    <w:tbl>
      <w:tblPr>
        <w:tblW w:type="pct" w:w="5000"/>
        <w:tblBorders>
          <w:top w:val="single" w:color="529286" w:sz="4"/>
          <w:left w:val="none" w:color="FFFFFF" w:sz="0"/>
          <w:bottom w:val="single" w:color="529286" w:sz="4"/>
          <w:right w:val="none" w:color="FFFFFF" w:sz="0"/>
          <w:insideH w:val="single" w:color="BECFCC" w:sz="1"/>
          <w:insideV w:val="none" w:color="FFFFFF" w:sz="0"/>
        </w:tblBorders>
      </w:tblPr>
      <w:tblGrid>
        <w:gridCol w:w="879"/>
        <w:gridCol w:w="2636"/>
        <w:gridCol w:w="1406"/>
        <w:gridCol w:w="1582"/>
        <w:gridCol w:w="2285"/>
      </w:tblGrid>
      <w:tr>
        <w:trPr>
          <w:cantSplit/>
          <w:tblHeader/>
        </w:trPr>
        <w:tc>
          <w:tcPr>
            <w:tcW w:type="pct" w:w="5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阶段</w:t>
            </w:r>
          </w:p>
        </w:tc>
        <w:tc>
          <w:tcPr>
            <w:tcW w:type="pct" w:w="15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  <w:tc>
          <w:tcPr>
            <w:tcW w:type="pct" w:w="8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算力估计</w:t>
            </w:r>
          </w:p>
        </w:tc>
        <w:tc>
          <w:tcPr>
            <w:tcW w:type="pct" w:w="9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启动条件</w:t>
            </w:r>
          </w:p>
        </w:tc>
        <w:tc>
          <w:tcPr>
            <w:tcW w:type="pct" w:w="13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建议</w:t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S2 外推</w:t>
            </w:r>
          </w:p>
        </w:tc>
        <w:tc>
          <w:tcPr>
            <w:tcW w:type="pct" w:w="1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FMNIST B240×{k2,3,5,8}</w:t>
            </w:r>
          </w:p>
        </w:tc>
        <w:tc>
          <w:tcPr>
            <w:tcW w:type="pct" w:w="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≈3–4 h（新 CPU 实测口径）</w:t>
            </w:r>
          </w:p>
        </w:tc>
        <w:tc>
          <w:tcPr>
            <w:tcW w:type="pct" w:w="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G1 通过（已满足）</w:t>
            </w:r>
          </w:p>
        </w:tc>
        <w:tc>
          <w:tcPr>
            <w:tcW w:type="pct" w:w="1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启动；G2 检验放大外推与 e&gt;24 的恶化预测（B240k8 e=30 应劣于 B120 甜区）</w:t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S3 迁移</w:t>
            </w:r>
          </w:p>
        </w:tc>
        <w:tc>
          <w:tcPr>
            <w:tcW w:type="pct" w:w="1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MNIST B120×{k2,5} + CIFAR-10 B60×{k2,5}</w:t>
            </w:r>
          </w:p>
        </w:tc>
        <w:tc>
          <w:tcPr>
            <w:tcW w:type="pct" w:w="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≈1 h + ≈2 h</w:t>
            </w:r>
          </w:p>
        </w:tc>
        <w:tc>
          <w:tcPr>
            <w:tcW w:type="pct" w:w="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无前置门</w:t>
            </w:r>
          </w:p>
        </w:tc>
        <w:tc>
          <w:tcPr>
            <w:tcW w:type="pct" w:w="1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启动；H4 边界判定（MNIST 衰减/CIFAR 放大）</w:t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A1 消融</w:t>
            </w:r>
          </w:p>
        </w:tc>
        <w:tc>
          <w:tcPr>
            <w:tcW w:type="pct" w:w="1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Single 验证集早停版 B30/60/120</w:t>
            </w:r>
          </w:p>
        </w:tc>
        <w:tc>
          <w:tcPr>
            <w:tcW w:type="pct" w:w="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≈0.5 h</w:t>
            </w:r>
          </w:p>
        </w:tc>
        <w:tc>
          <w:tcPr>
            <w:tcW w:type="pct" w:w="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无前置门</w:t>
            </w:r>
          </w:p>
        </w:tc>
        <w:tc>
          <w:tcPr>
            <w:tcW w:type="pct" w:w="1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启动；RQ5（选择规则是否改变分配建议）</w:t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A2 基准</w:t>
            </w:r>
          </w:p>
        </w:tc>
        <w:tc>
          <w:tcPr>
            <w:tcW w:type="pct" w:w="1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推理延迟/参数/存储 k 扫描</w:t>
            </w:r>
          </w:p>
        </w:tc>
        <w:tc>
          <w:tcPr>
            <w:tcW w:type="pct" w:w="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&lt;10 min</w:t>
            </w:r>
          </w:p>
        </w:tc>
        <w:tc>
          <w:tcPr>
            <w:tcW w:type="pct" w:w="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无前置门</w:t>
            </w:r>
          </w:p>
        </w:tc>
        <w:tc>
          <w:tcPr>
            <w:tcW w:type="pct" w:w="1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启动；H6</w:t>
            </w:r>
          </w:p>
        </w:tc>
      </w:tr>
    </w:tbl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全局停止规则核验：S1 未发现设计缺陷（预算记账经 I3 结构性验证）、无波动崩溃、放大机制在新数据中未消失、且 S1 单独已产出超出“集成优于单模型”已知结论的分配结构知识——停止规则的三个触发条件均未命中，研究方向按预注册继续。</w:t>
      </w:r>
    </w:p>
    <w:p>
      <w:pPr>
        <w:pStyle w:val="Heading1"/>
        <w:spacing w:after="160" w:before="360" w:line="312"/>
      </w:pPr>
      <w:bookmarkStart w:name="_Toc10" w:id="10"/>
      <w:r>
        <w:rPr>
          <w:rFonts w:ascii="Times New Roman" w:eastAsia="SimHei"/>
          <w:b/>
          <w:bCs/>
          <w:color w:val="0B1C2C"/>
          <w:sz w:val="32"/>
          <w:szCs w:val="32"/>
        </w:rPr>
        <w:t xml:space="preserve">十、可核验性</w:t>
      </w:r>
      <w:bookmarkEnd w:id="10"/>
    </w:p>
    <w:p>
      <w:pPr>
        <w:pStyle w:val="ListParagraph"/>
        <w:numPr>
          <w:ilvl w:val="0"/>
          <w:numId w:val="1"/>
        </w:numPr>
        <w:spacing w:after="40" w:line="312"/>
        <w:jc w:val="left"/>
      </w:pPr>
      <w:r>
        <w:rPr>
          <w:rFonts w:ascii="Times New Roman" w:eastAsia="SimSun"/>
          <w:color w:val="000000"/>
          <w:sz w:val="24"/>
          <w:szCs w:val="24"/>
        </w:rPr>
        <w:t xml:space="preserve">原始记录：ijmlc-repo/results/v5/experiment_v5_fmnist_B{30,60,120}_k{2,3,5,8}.jsonl（10 文件，100 条逐种子记录，含版本戳、wallclock、逐条件全指标、TS 拟合值、可靠性图分箱与成员级指标）</w:t>
      </w:r>
    </w:p>
    <w:p>
      <w:pPr>
        <w:pStyle w:val="ListParagraph"/>
        <w:numPr>
          <w:ilvl w:val="0"/>
          <w:numId w:val="1"/>
        </w:numPr>
        <w:spacing w:after="40" w:line="312"/>
        <w:jc w:val="left"/>
      </w:pPr>
      <w:r>
        <w:rPr>
          <w:rFonts w:ascii="Times New Roman" w:eastAsia="SimSun"/>
          <w:color w:val="000000"/>
          <w:sz w:val="24"/>
          <w:szCs w:val="24"/>
        </w:rPr>
        <w:t xml:space="preserve">分析输出：results/v5/analysis_v5.json（全统计）、summary_v5.csv（70 行摘要）、contrasts_v5.csv（族一 50 行 + 族二 12 行）</w:t>
      </w:r>
    </w:p>
    <w:p>
      <w:pPr>
        <w:pStyle w:val="ListParagraph"/>
        <w:numPr>
          <w:ilvl w:val="0"/>
          <w:numId w:val="1"/>
        </w:numPr>
        <w:spacing w:after="40" w:line="312"/>
        <w:jc w:val="left"/>
      </w:pPr>
      <w:r>
        <w:rPr>
          <w:rFonts w:ascii="Times New Roman" w:eastAsia="SimSun"/>
          <w:color w:val="000000"/>
          <w:sz w:val="24"/>
          <w:szCs w:val="24"/>
        </w:rPr>
        <w:t xml:space="preserve">脚本：scripts/run_s1_driver.py（分片驱动）、scripts/check_s1_integrity.py（I1–I6）、scripts/analyze_v5.py（预注册统计，独立于 v2 实现）</w:t>
      </w:r>
    </w:p>
    <w:p>
      <w:pPr>
        <w:pStyle w:val="ListParagraph"/>
        <w:numPr>
          <w:ilvl w:val="0"/>
          <w:numId w:val="1"/>
        </w:numPr>
        <w:spacing w:after="40" w:line="312"/>
        <w:jc w:val="left"/>
      </w:pPr>
      <w:r>
        <w:rPr>
          <w:rFonts w:ascii="Times New Roman" w:eastAsia="SimSun"/>
          <w:color w:val="000000"/>
          <w:sz w:val="24"/>
          <w:szCs w:val="24"/>
        </w:rPr>
        <w:t xml:space="preserve">复现命令：python scripts/run_s1_driver.py 560（断点续跑至 ALL_S1_CELLS_DONE）；python scripts/check_s1_integrity.py；python scripts/analyze_v5.py</w:t>
      </w:r>
    </w:p>
    <w:p>
      <w:pPr>
        <w:pStyle w:val="ListParagraph"/>
        <w:numPr>
          <w:ilvl w:val="0"/>
          <w:numId w:val="1"/>
        </w:numPr>
        <w:spacing w:after="40" w:line="312"/>
        <w:jc w:val="left"/>
      </w:pPr>
      <w:r>
        <w:rPr>
          <w:rFonts w:ascii="Times New Roman" w:eastAsia="SimSun"/>
          <w:color w:val="000000"/>
          <w:sz w:val="24"/>
          <w:szCs w:val="24"/>
        </w:rPr>
        <w:t xml:space="preserve">本报告数值与 analysis_v5.json 一一对应；冒烟记录（smoke/）按预注册不进入任何结果</w:t>
      </w:r>
    </w:p>
    <w:sectPr>
      <w:headerReference w:type="default" r:id="rId8"/>
      <w:footerReference w:type="default" r:id="rId9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eastAsia="SimSun"/>
        <w:color w:val="808080"/>
        <w:sz w:val="18"/>
        <w:szCs w:val="18"/>
      </w:rPr>
      <w:t xml:space="preserve">v5.0 S1 阶段报告（Doc 4）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eastAsia="SimSun"/>
        <w:color w:val="808080"/>
        <w:sz w:val="18"/>
        <w:szCs w:val="18"/>
      </w:rPr>
      <w:t xml:space="preserve">v5.0 S1 阶段报告（Doc 4）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 w:line="312"/>
      <w:outlineLvl w:val="0"/>
    </w:pPr>
    <w:rPr>
      <w:rFonts w:ascii="Times New Roman" w:eastAsia="SimHei"/>
      <w:b/>
      <w:bCs/>
      <w:color w:val="0B1C2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 w:line="312"/>
      <w:outlineLvl w:val="1"/>
    </w:pPr>
    <w:rPr>
      <w:rFonts w:ascii="Times New Roman" w:eastAsia="SimHei"/>
      <w:b/>
      <w:bCs/>
      <w:color w:val="0B1C2C"/>
      <w:sz w:val="30"/>
      <w:szCs w:val="30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S1 主网格执行报告：k 曲线、最优分配与阶段门判定</dc:title>
  <dc:creator>Chang Tan</dc:creator>
  <cp:lastModifiedBy>Un-named</cp:lastModifiedBy>
  <cp:revision>1</cp:revision>
  <dcterms:created xsi:type="dcterms:W3CDTF">2026-10-20T04:50:57.757Z</dcterms:created>
  <dcterms:modified xsi:type="dcterms:W3CDTF">2026-10-20T04:50:57.758Z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