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vAlign w:val="top"/>
          </w:tcPr>
          <w:p>
            <w:pPr>
              <w:spacing w:before="3588"/>
            </w:pPr>
          </w:p>
          <w:p>
            <w:pPr>
              <w:pBdr>
                <w:bottom w:val="single" w:color="529286" w:sz="6" w:space="8"/>
              </w:pBdr>
              <w:spacing w:after="500"/>
              <w:ind w:left="1200" w:right="800"/>
            </w:pPr>
            <w:r>
              <w:rPr>
                <w:rFonts w:ascii="Calibri" w:eastAsia="SimHei"/>
                <w:color w:val="529286"/>
                <w:spacing w:val="40"/>
                <w:sz w:val="18"/>
                <w:szCs w:val="18"/>
              </w:rPr>
              <w:t xml:space="preserve">S  T  A  G  E     2     R  E  P  O  R  T</w:t>
            </w:r>
          </w:p>
          <w:p>
            <w:pPr>
              <w:spacing w:after="100" w:line="920" w:lineRule="atLeast"/>
              <w:ind w:left="1200"/>
            </w:pPr>
            <w:r>
              <w:rPr>
                <w:rFonts w:ascii="Arial" w:eastAsia="SimHei"/>
                <w:b/>
                <w:bCs/>
                <w:color w:val="FFFFFF"/>
                <w:sz w:val="80"/>
                <w:szCs w:val="80"/>
              </w:rPr>
              <w:t xml:space="preserve">S2 外推网格执行报告：</w:t>
            </w:r>
          </w:p>
          <w:p>
            <w:pPr>
              <w:spacing w:after="100" w:line="920" w:lineRule="atLeast"/>
              <w:ind w:left="1200"/>
            </w:pPr>
            <w:r>
              <w:rPr>
                <w:rFonts w:ascii="Arial" w:eastAsia="SimHei"/>
                <w:b/>
                <w:bCs/>
                <w:color w:val="FFFFFF"/>
                <w:sz w:val="80"/>
                <w:szCs w:val="80"/>
              </w:rPr>
              <w:t xml:space="preserve">B240 结果与 G2</w:t>
            </w:r>
          </w:p>
          <w:p>
            <w:pPr>
              <w:spacing w:after="300" w:line="920" w:lineRule="atLeast"/>
              <w:ind w:left="1200"/>
            </w:pPr>
            <w:r>
              <w:rPr>
                <w:rFonts w:ascii="Arial" w:eastAsia="SimHei"/>
                <w:b/>
                <w:bCs/>
                <w:color w:val="FFFFFF"/>
                <w:sz w:val="80"/>
                <w:szCs w:val="80"/>
              </w:rPr>
              <w:t xml:space="preserve">阶段门判定</w:t>
            </w:r>
          </w:p>
          <w:p>
            <w:pPr>
              <w:spacing w:after="800"/>
              <w:ind w:left="1200"/>
            </w:pPr>
            <w:r>
              <w:rPr>
                <w:rFonts w:ascii="Arial" w:eastAsia="Microsoft YaHei"/>
                <w:color w:val="B0B8C0"/>
                <w:sz w:val="24"/>
                <w:szCs w:val="24"/>
              </w:rPr>
              <w:t xml:space="preserve">v5.0 研究计划（方案 B）阶段报告 · 预注册网格 S2 结果与假设判定更新</w:t>
            </w:r>
          </w:p>
          <w:p>
            <w:pPr>
              <w:pBdr>
                <w:left w:val="single" w:color="529286" w:sz="8" w:space="12"/>
              </w:pBdr>
              <w:spacing w:after="80"/>
              <w:ind w:left="1400"/>
            </w:pPr>
            <w:r>
              <w:rPr>
                <w:rFonts w:ascii="Arial" w:eastAsia="Microsoft YaHei"/>
                <w:color w:val="90989F"/>
                <w:sz w:val="24"/>
                <w:szCs w:val="24"/>
              </w:rPr>
              <w:t xml:space="preserve">研究项目：固定训练预算下的集成不确定性研究</w:t>
            </w:r>
          </w:p>
          <w:p>
            <w:pPr>
              <w:pBdr>
                <w:left w:val="single" w:color="529286" w:sz="8" w:space="12"/>
              </w:pBdr>
              <w:spacing w:after="80"/>
              <w:ind w:left="1400"/>
            </w:pPr>
            <w:r>
              <w:rPr>
                <w:rFonts w:ascii="Arial" w:eastAsia="Microsoft YaHei"/>
                <w:color w:val="90989F"/>
                <w:sz w:val="24"/>
                <w:szCs w:val="24"/>
              </w:rPr>
              <w:t xml:space="preserve">执行日期：2026 年 10 月 20 日（S2 完成，G2 通过，附形状修正 D6）</w:t>
            </w:r>
          </w:p>
          <w:p>
            <w:pPr>
              <w:pBdr>
                <w:left w:val="single" w:color="529286" w:sz="8" w:space="12"/>
              </w:pBdr>
              <w:spacing w:after="80"/>
              <w:ind w:left="1400"/>
            </w:pPr>
            <w:r>
              <w:rPr>
                <w:rFonts w:ascii="Arial" w:eastAsia="Microsoft YaHei"/>
                <w:color w:val="90989F"/>
                <w:sz w:val="24"/>
                <w:szCs w:val="24"/>
              </w:rPr>
              <w:t xml:space="preserve">前置文档：核验报告 Doc 1 · 文献缺口 Doc 2 · 预注册计划 Doc 3 · S1 报告 Doc 4</w:t>
            </w:r>
          </w:p>
          <w:p>
            <w:pPr>
              <w:pBdr>
                <w:left w:val="single" w:color="529286" w:sz="8" w:space="12"/>
              </w:pBdr>
              <w:spacing w:after="80"/>
              <w:ind w:left="1400"/>
            </w:pPr>
            <w:r>
              <w:rPr>
                <w:rFonts w:ascii="Arial" w:eastAsia="Microsoft YaHei"/>
                <w:color w:val="90989F"/>
                <w:sz w:val="24"/>
                <w:szCs w:val="24"/>
              </w:rPr>
              <w:t xml:space="preserve">数据环境：torch 2.14.1+cpu（双线程）· S2 4 单元 × 10 种子 · 3.06 h</w:t>
            </w:r>
          </w:p>
          <w:p>
            <w:pPr>
              <w:spacing w:before="3588"/>
            </w:pPr>
          </w:p>
          <w:p>
            <w:pPr>
              <w:pBdr>
                <w:top w:val="single" w:color="529286" w:sz="2" w:space="8"/>
              </w:pBdr>
              <w:spacing w:before="200"/>
              <w:ind w:left="1200" w:right="800"/>
            </w:pPr>
            <w:r>
              <w:rPr>
                <w:rFonts w:ascii="Arial" w:eastAsia="Microsoft YaHei"/>
                <w:color w:val="687078"/>
                <w:sz w:val="16"/>
                <w:szCs w:val="16"/>
              </w:rPr>
              <w:t xml:space="preserve">Budget-Matched Ensembles Study</w:t>
            </w:r>
            <w:r>
              <w:t xml:space="preserve">                                        </w:t>
            </w:r>
            <w:r>
              <w:rPr>
                <w:rFonts w:ascii="Arial" w:eastAsia="Microsoft YaHei"/>
                <w:color w:val="687078"/>
                <w:sz w:val="16"/>
                <w:szCs w:val="16"/>
              </w:rPr>
              <w:t xml:space="preserve">v5.0 Stage Report · Doc 5</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一、执行摘要</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二、执行记录与数据完整性</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三、G2 阶段门判定与放大规律的形状修正</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四、k 曲线外推：k* 上移与未饱和（H1 更新）</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五、e 甜区的完整图景（机制汇总）</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六、温度缩放的条件性与快照差距（H5/H3 更新）</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七、预注册假设判定更新（S1+S2 合并口径）</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八、偏离登记（S2 新增）</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九、S3 启动判定与后续计划</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十、可核验性</w:t>
            </w:r>
            <w:r>
              <w:tab/>
            </w:r>
            <w:r>
              <w:fldChar w:fldCharType="begin" w:dirty="true"/>
              <w:instrText xml:space="preserve">PAGEREF _Toc10 \h</w:instrText>
              <w:fldChar w:fldCharType="separate"/>
              <w:fldChar w:fldCharType="end"/>
            </w:r>
          </w:hyperlink>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注：本目录由域代码生成。如编辑后页码发生变化，请在目录上右键选择“更新域”以刷新页码。</w:t>
      </w:r>
    </w:p>
    <w:p>
      <w:pPr>
        <w:pStyle w:val="Heading1"/>
        <w:spacing w:after="160" w:before="360" w:line="312"/>
      </w:pPr>
      <w:bookmarkStart w:name="_Toc1" w:id="1"/>
      <w:r>
        <w:rPr>
          <w:rFonts w:ascii="Times New Roman" w:eastAsia="SimHei"/>
          <w:b/>
          <w:bCs/>
          <w:color w:val="0B1C2C"/>
          <w:sz w:val="32"/>
          <w:szCs w:val="32"/>
        </w:rPr>
        <w:t xml:space="preserve">一、执行摘要</w:t>
      </w:r>
      <w:bookmarkEnd w:id="1"/>
    </w:p>
    <w:p>
      <w:pPr>
        <w:spacing w:after="60" w:line="312"/>
        <w:ind w:firstLine="480"/>
        <w:jc w:val="both"/>
      </w:pPr>
      <w:r>
        <w:rPr>
          <w:rFonts w:ascii="Times New Roman" w:eastAsia="SimSun"/>
          <w:b/>
          <w:bCs/>
          <w:color w:val="000000"/>
          <w:sz w:val="24"/>
          <w:szCs w:val="24"/>
        </w:rPr>
        <w:t xml:space="preserve">G2 阶段门判定：通过（字面判据），附形状修正。</w:t>
      </w:r>
      <w:r>
        <w:rPr>
          <w:rFonts w:ascii="Times New Roman" w:eastAsia="SimSun"/>
          <w:b w:val="false"/>
          <w:bCs w:val="false"/>
          <w:color w:val="000000"/>
          <w:sz w:val="24"/>
          <w:szCs w:val="24"/>
        </w:rPr>
        <w:t xml:space="preserve">S2 外推网格（FMNIST，B=240×k∈{2,3,5,8}，4 单元 × 10 种子，约 26,322 训练 epochs，实测 3.06 小时）在预注册环境下全部完成，六项数据完整性核验全部通过。G2 的两项字面判据——相邻预算点 95% CI 不重叠（30–60、60–120、120–240 三对全部满足）与方向一致（四点全部为负）——均满足；但差距的均值序列不再单调扩大（B120 峰值 −0.3317 → B240 收窄至 −0.2465），预注册 H2 的“单调扩大”表述按失败判据的操作化定义（CI 重叠或反向）未触发降格，须按诚实原则修正为非单调形状并登记偏离 D6。</w:t>
      </w:r>
    </w:p>
    <w:p>
      <w:pPr>
        <w:spacing w:after="60" w:line="312"/>
        <w:ind w:firstLine="480"/>
        <w:jc w:val="both"/>
      </w:pPr>
      <w:r>
        <w:rPr>
          <w:rFonts w:ascii="Times New Roman" w:eastAsia="SimSun"/>
          <w:b/>
          <w:bCs/>
          <w:color w:val="000000"/>
          <w:sz w:val="24"/>
          <w:szCs w:val="24"/>
        </w:rPr>
        <w:t xml:space="preserve">S2 的五项核心发现：</w:t>
      </w:r>
    </w:p>
    <w:p>
      <w:pPr>
        <w:pStyle w:val="ListParagraph"/>
        <w:numPr>
          <w:ilvl w:val="0"/>
          <w:numId w:val="1"/>
        </w:numPr>
        <w:spacing w:after="40" w:line="312"/>
        <w:jc w:val="left"/>
      </w:pPr>
      <w:r>
        <w:rPr>
          <w:rFonts w:ascii="Times New Roman" w:eastAsia="SimSun"/>
          <w:color w:val="000000"/>
          <w:sz w:val="24"/>
          <w:szCs w:val="24"/>
        </w:rPr>
        <w:t xml:space="preserve">放大效应非单调，峰值在 B120：DE−SG(k3) 差距序列 −0.0754 → −0.2245 → −0.3317 → −0.2465。收窄的机制分解干净：120→240 区间 Single 恶化贡献份额仅 12.6%（0.3795→0.5265→0.6672→0.6564，B240 处单模型 NLL 饱和甚至微降），而固定 k=3 的 DeepEns 成员训练长度 e=80 深度超出甜区，成员 NLL 0.4276→0.5982，集成 0.3355→0.4099。放大规律被重新刻画为条件命题：当单模型仍在恶化且分配保持在甜区内时成立。</w:t>
      </w:r>
    </w:p>
    <w:p>
      <w:pPr>
        <w:pStyle w:val="ListParagraph"/>
        <w:numPr>
          <w:ilvl w:val="0"/>
          <w:numId w:val="1"/>
        </w:numPr>
        <w:spacing w:after="40" w:line="312"/>
        <w:jc w:val="left"/>
      </w:pPr>
      <w:r>
        <w:rPr>
          <w:rFonts w:ascii="Times New Roman" w:eastAsia="SimSun"/>
          <w:color w:val="000000"/>
          <w:sz w:val="24"/>
          <w:szCs w:val="24"/>
        </w:rPr>
        <w:t xml:space="preserve">k* 随预算上移的规律在外推端更强：B240 处 k5 与 k8 的差距 −0.0355 远超等效界（TOST 拒绝等效，CI90 [−0.0394, −0.0315]），k 曲线在 k=8 尚未饱和；对照 B120 处 k5–k8 差距 −0.0056（等效）。k*(B) 序列：B30→3，B60→[3,5]，B120→[5,8]，B240→≥8（未饱和），全部配对方向一致性 10/10 种子。</w:t>
      </w:r>
    </w:p>
    <w:p>
      <w:pPr>
        <w:pStyle w:val="ListParagraph"/>
        <w:numPr>
          <w:ilvl w:val="0"/>
          <w:numId w:val="1"/>
        </w:numPr>
        <w:spacing w:after="40" w:line="312"/>
        <w:jc w:val="left"/>
      </w:pPr>
      <w:r>
        <w:rPr>
          <w:rFonts w:ascii="Times New Roman" w:eastAsia="SimSun"/>
          <w:color w:val="000000"/>
          <w:sz w:val="24"/>
          <w:szCs w:val="24"/>
        </w:rPr>
        <w:t xml:space="preserve">e 甜区的完整倒 U 图景：B240 网格补齐了 e 的高端——e=48（k5，0.3298）与 e=80（k3，0.4099）、e=120（k2，0.4931）逐级恶化；e=30（k8，0.2943）为 B240 网格内最优。跨预算合并后甜区边界收敛为 e∈[10,30]（B120k8 的 e=15 为全网格最低 0.2909），与 S1 的 e∈[10,24] 推断一致且右边界略外移。</w:t>
      </w:r>
    </w:p>
    <w:p>
      <w:pPr>
        <w:pStyle w:val="ListParagraph"/>
        <w:numPr>
          <w:ilvl w:val="0"/>
          <w:numId w:val="1"/>
        </w:numPr>
        <w:spacing w:after="40" w:line="312"/>
        <w:jc w:val="left"/>
      </w:pPr>
      <w:r>
        <w:rPr>
          <w:rFonts w:ascii="Times New Roman" w:eastAsia="SimSun"/>
          <w:color w:val="000000"/>
          <w:sz w:val="24"/>
          <w:szCs w:val="24"/>
        </w:rPr>
        <w:t xml:space="preserve">温度缩放的分配规则被条件化：S1 发现的“TS 后最优 k 下移一档”（B30: 3→2；B60: 5→3；B120: 8→5）在 B240 处不再成立——TS 后 k8 仍最优（0.2782 &lt; k5 的 0.2886）。机制：B240k5 的 e=48 已超出甜区，成员的功能性缺陷（判别力损失）无法靠温度修复；TS 只能重标定置信度尺度。实践规则的修正表述：TS 可替代“更多成员换原生校准”当且仅当成员训练长度处于甜区内。</w:t>
      </w:r>
    </w:p>
    <w:p>
      <w:pPr>
        <w:pStyle w:val="ListParagraph"/>
        <w:numPr>
          <w:ilvl w:val="0"/>
          <w:numId w:val="1"/>
        </w:numPr>
        <w:spacing w:after="40" w:line="312"/>
        <w:jc w:val="left"/>
      </w:pPr>
      <w:r>
        <w:rPr>
          <w:rFonts w:ascii="Times New Roman" w:eastAsia="SimSun"/>
          <w:color w:val="000000"/>
          <w:sz w:val="24"/>
          <w:szCs w:val="24"/>
        </w:rPr>
        <w:t xml:space="preserve">快照差距（H3）在 B240 呈非单调形状：DE−SN 差距 k2 −0.1054 → k3 −0.1426 → k5 −0.1418 → k8 −0.1177（B120 为单调收窄 −0.1034→−0.0551）。机制（探索性）：B240k8 的快照成员 NLL 0.5680 显著差于同 e 的独立成员 0.3777——循环内快照继承前一循环的过拟合权重，其恶化速度超过独立重启；成员质量劣势（+0.19）超过其轨迹多样性的微弱优势（JSD 0.0135 vs 独立 0.0208）。</w:t>
      </w:r>
    </w:p>
    <w:p>
      <w:pPr>
        <w:spacing w:after="60" w:line="312"/>
        <w:ind w:firstLine="480"/>
        <w:jc w:val="both"/>
      </w:pPr>
      <w:r>
        <w:rPr>
          <w:rFonts w:ascii="Times New Roman" w:eastAsia="SimSun"/>
          <w:b/>
          <w:bCs/>
          <w:color w:val="000000"/>
          <w:sz w:val="24"/>
          <w:szCs w:val="24"/>
        </w:rPr>
        <w:t xml:space="preserve">对论文定位的影响：</w:t>
      </w:r>
      <w:r>
        <w:rPr>
          <w:rFonts w:ascii="Times New Roman" w:eastAsia="SimSun"/>
          <w:b w:val="false"/>
          <w:bCs w:val="false"/>
          <w:color w:val="000000"/>
          <w:sz w:val="24"/>
          <w:szCs w:val="24"/>
        </w:rPr>
        <w:t xml:space="preserve">v5 的核心贡献从“k×B 分配规律”升级为“预算分配的完整相图”——三条机制曲线（单模型恶化、成员甜区、集成规模收益）共同决定最优分配，且各有失效边界。B240 点位的价值恰在于三个机制中两个出现转折（单模型饱和、固定 k 的甜区违反），使规律从经验拟合提升为有边界条件的可检验命题。</w:t>
      </w:r>
    </w:p>
    <w:p>
      <w:pPr>
        <w:pStyle w:val="Heading1"/>
        <w:spacing w:after="160" w:before="360" w:line="312"/>
      </w:pPr>
      <w:bookmarkStart w:name="_Toc2" w:id="2"/>
      <w:r>
        <w:rPr>
          <w:rFonts w:ascii="Times New Roman" w:eastAsia="SimHei"/>
          <w:b/>
          <w:bCs/>
          <w:color w:val="0B1C2C"/>
          <w:sz w:val="32"/>
          <w:szCs w:val="32"/>
        </w:rPr>
        <w:t xml:space="preserve">二、执行记录与数据完整性</w:t>
      </w:r>
      <w:bookmarkEnd w:id="2"/>
    </w:p>
    <w:p>
      <w:pPr>
        <w:spacing w:after="60" w:line="312"/>
        <w:ind w:firstLine="480"/>
        <w:jc w:val="both"/>
      </w:pPr>
      <w:r>
        <w:rPr>
          <w:rFonts w:ascii="Times New Roman" w:eastAsia="SimSun"/>
          <w:color w:val="000000"/>
          <w:sz w:val="24"/>
          <w:szCs w:val="24"/>
        </w:rPr>
        <w:t xml:space="preserve">执行环境与 S1 完全一致：torch 2.14.1+cpu（双线程）、numpy 2.1.3、统一种子方案 base=10000+100s、s∈[0,10)。分片协议沿用 --time-budget 断点续跑；因后台进程会被宿主环境终止（S1 已验证），全部 30 个分片以前台方式执行。发生三次执行层事件，均未造成数据损失：(a) 两次会话级中断（分片被取消，已完成种子已落盘，重跑自动跳过）；(b) 一次 600 秒硬超时的静默失败（子进程被杀且无输出、该种子未写入，重试后正常完成，279 秒）——事件本身不构成数据完整性风险，因为写入以逐种子追加完成，截断行会被断点逻辑忽略，且最终由 I1 种子完整性校验兜底。</w:t>
      </w:r>
    </w:p>
    <w:p>
      <w:pPr>
        <w:keepNext/>
        <w:spacing w:after="80" w:before="160" w:line="312"/>
      </w:pPr>
      <w:r>
        <w:rPr>
          <w:rFonts w:ascii="Times New Roman" w:eastAsia="SimHei"/>
          <w:b/>
          <w:bCs/>
          <w:color w:val="0B1C2C"/>
          <w:sz w:val="21"/>
          <w:szCs w:val="21"/>
        </w:rPr>
        <w:t xml:space="preserve">表 2-1 S2 数据完整性核验（scripts/check_s2_integrity.py，六项全过）</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1406"/>
        <w:gridCol w:w="1230"/>
        <w:gridCol w:w="6152"/>
      </w:tblGrid>
      <w:tr>
        <w:trPr>
          <w:cantSplit/>
          <w:tblHeader/>
        </w:trPr>
        <w:tc>
          <w:tcPr>
            <w:tcW w:type="pct" w:w="8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检查</w:t>
            </w:r>
          </w:p>
        </w:tc>
        <w:tc>
          <w:tcPr>
            <w:tcW w:type="pct" w:w="7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结果</w:t>
            </w:r>
          </w:p>
        </w:tc>
        <w:tc>
          <w:tcPr>
            <w:tcW w:type="pct" w:w="35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说明</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I1 种子完整性</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4/4 单元 PASS</w:t>
            </w:r>
          </w:p>
        </w:tc>
        <w:tc>
          <w:tcPr>
            <w:tcW w:type="pct" w:w="3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每单元恰含种子 0–9，无重复、无截断行</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I2 共享成员位级一致</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PASS</w:t>
            </w:r>
          </w:p>
        </w:tc>
        <w:tc>
          <w:tcPr>
            <w:tcW w:type="pct" w:w="3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4 个单元 seed-0 位级校验 shared_ok=True；此检查同时是 k|B 整除性的结构性验证（B60k8 冒烟失败即表现为 shared_ok=False）</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I3 跨配置 Single 一致</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PASS（3/3 对）</w:t>
            </w:r>
          </w:p>
        </w:tc>
        <w:tc>
          <w:tcPr>
            <w:tcW w:type="pct" w:w="3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B240 内不同 k 的 Single 逐种子位级一致（k2 基准 vs k3/k5/k8），结构性预算公平验证</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I4 配置戳</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PASS</w:t>
            </w:r>
          </w:p>
        </w:tc>
        <w:tc>
          <w:tcPr>
            <w:tcW w:type="pct" w:w="3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全部 40 条记录 budget=240、k 与文件名一致、id=fmnist、OOD 探针 [mnist, kmnist]</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I5 版本戳统一</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PASS</w:t>
            </w:r>
          </w:p>
        </w:tc>
        <w:tc>
          <w:tcPr>
            <w:tcW w:type="pct" w:w="3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全部记录与 S1 戳完全一致（torch 2.14.1+cpu / numpy 2.1.3），S1+S2 可合并分析</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I6 记录完整</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PASS</w:t>
            </w:r>
          </w:p>
        </w:tc>
        <w:tc>
          <w:tcPr>
            <w:tcW w:type="pct" w:w="3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成员级指标在位；总 wallclock 11,032 秒（3.06 h，预算 3–4 h 内）</w:t>
            </w:r>
          </w:p>
        </w:tc>
      </w:tr>
    </w:tbl>
    <w:p>
      <w:pPr>
        <w:spacing w:after="160" w:before="40" w:line="312"/>
      </w:pPr>
      <w:r>
        <w:rPr>
          <w:rFonts w:ascii="Times New Roman" w:eastAsia="SimSun"/>
          <w:i/>
          <w:iCs/>
          <w:color w:val="606060"/>
          <w:sz w:val="21"/>
          <w:szCs w:val="21"/>
        </w:rPr>
        <w:t xml:space="preserve">数据完整性承诺执行情况：无任何种子被删除或替换；B240 未出现训练崩溃或发散种子。逐种子记录（含每种子 wallclock、全部指标、TS 拟合值与可靠性分箱）见 results/v5/experiment_v5_fmnist_B240_k{2,3,5,8}.jsonl。</w:t>
      </w:r>
    </w:p>
    <w:p>
      <w:pPr>
        <w:pStyle w:val="Heading1"/>
        <w:spacing w:after="160" w:before="360" w:line="312"/>
      </w:pPr>
      <w:bookmarkStart w:name="_Toc3" w:id="3"/>
      <w:r>
        <w:rPr>
          <w:rFonts w:ascii="Times New Roman" w:eastAsia="SimHei"/>
          <w:b/>
          <w:bCs/>
          <w:color w:val="0B1C2C"/>
          <w:sz w:val="32"/>
          <w:szCs w:val="32"/>
        </w:rPr>
        <w:t xml:space="preserve">三、G2 阶段门判定与放大规律的形状修正</w:t>
      </w:r>
      <w:bookmarkEnd w:id="3"/>
    </w:p>
    <w:p>
      <w:pPr>
        <w:spacing w:after="60" w:line="312"/>
        <w:ind w:firstLine="480"/>
        <w:jc w:val="both"/>
      </w:pPr>
      <w:r>
        <w:rPr>
          <w:rFonts w:ascii="Times New Roman" w:eastAsia="SimSun"/>
          <w:color w:val="000000"/>
          <w:sz w:val="24"/>
          <w:szCs w:val="24"/>
        </w:rPr>
        <w:t xml:space="preserve">预注册 G2 判据（表 7-2）：B240 延续放大趋势，操作化为“相邻预算点 95%CI 不重叠且方向一致”。k=3 锚点（四个预算全部覆盖）的四点差距如下表。</w:t>
      </w:r>
    </w:p>
    <w:p>
      <w:pPr>
        <w:keepNext/>
        <w:spacing w:after="80" w:before="160" w:line="312"/>
      </w:pPr>
      <w:r>
        <w:rPr>
          <w:rFonts w:ascii="Times New Roman" w:eastAsia="SimHei"/>
          <w:b/>
          <w:bCs/>
          <w:color w:val="0B1C2C"/>
          <w:sz w:val="21"/>
          <w:szCs w:val="21"/>
        </w:rPr>
        <w:t xml:space="preserve">表 3-1 DeepEns−Single 差距的四预算序列（k=3 锚点，n=10 配对）</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879"/>
        <w:gridCol w:w="1142"/>
        <w:gridCol w:w="1933"/>
        <w:gridCol w:w="1055"/>
        <w:gridCol w:w="1758"/>
        <w:gridCol w:w="1055"/>
      </w:tblGrid>
      <w:tr>
        <w:trPr>
          <w:cantSplit/>
          <w:tblHeader/>
        </w:trPr>
        <w:tc>
          <w:tcPr>
            <w:tcW w:type="pct" w:w="5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预算</w:t>
            </w:r>
          </w:p>
        </w:tc>
        <w:tc>
          <w:tcPr>
            <w:tcW w:type="pct" w:w="6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DE−SG 差距</w:t>
            </w:r>
          </w:p>
        </w:tc>
        <w:tc>
          <w:tcPr>
            <w:tcW w:type="pct" w:w="11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95% CI</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p（置换）</w:t>
            </w:r>
          </w:p>
        </w:tc>
        <w:tc>
          <w:tcPr>
            <w:tcW w:type="pct" w:w="10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相邻 CI 分离</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方向</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B30</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−0.0754</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[−0.0809, −0.0699]</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0.0020</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10/10 负</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B60</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−0.2245</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[−0.2360, −0.2130]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0.0020</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30–60：分离</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10/10 负</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B120</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−0.3317</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[−0.3416, −0.3219]</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0.0020</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60–120：分离</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10/10 负</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−0.2465</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[−0.2723, −0.2208]</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0.0020</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120–240：分离</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10/10 负</w:t>
            </w:r>
          </w:p>
        </w:tc>
      </w:tr>
    </w:tbl>
    <w:p>
      <w:pPr>
        <w:spacing w:after="60" w:line="312"/>
        <w:ind w:firstLine="480"/>
        <w:jc w:val="both"/>
      </w:pPr>
      <w:r>
        <w:rPr>
          <w:rFonts w:ascii="Times New Roman" w:eastAsia="SimSun"/>
          <w:b/>
          <w:bCs/>
          <w:color w:val="000000"/>
          <w:sz w:val="24"/>
          <w:szCs w:val="24"/>
        </w:rPr>
        <w:t xml:space="preserve">字面判据：通过。</w:t>
      </w:r>
      <w:r>
        <w:rPr>
          <w:rFonts w:ascii="Times New Roman" w:eastAsia="SimSun"/>
          <w:b w:val="false"/>
          <w:bCs w:val="false"/>
          <w:color w:val="000000"/>
          <w:sz w:val="24"/>
          <w:szCs w:val="24"/>
        </w:rPr>
        <w:t xml:space="preserve">三对相邻预算点的 95%CI 全部不重叠，四点方向全部一致（每点 10/10 种子同号），未触发预注册失败条款（“相邻预算点 95%CI 重叠或反向”）。按表 7-2，S3 获得启动授权。</w:t>
      </w:r>
    </w:p>
    <w:p>
      <w:pPr>
        <w:spacing w:after="60" w:line="312"/>
        <w:ind w:firstLine="480"/>
        <w:jc w:val="both"/>
      </w:pPr>
      <w:r>
        <w:rPr>
          <w:rFonts w:ascii="Times New Roman" w:eastAsia="SimSun"/>
          <w:b/>
          <w:bCs/>
          <w:color w:val="000000"/>
          <w:sz w:val="24"/>
          <w:szCs w:val="24"/>
        </w:rPr>
        <w:t xml:space="preserve">形状修正（偏离 D6，诚实处置）：</w:t>
      </w:r>
      <w:r>
        <w:rPr>
          <w:rFonts w:ascii="Times New Roman" w:eastAsia="SimSun"/>
          <w:b w:val="false"/>
          <w:bCs w:val="false"/>
          <w:color w:val="000000"/>
          <w:sz w:val="24"/>
          <w:szCs w:val="24"/>
        </w:rPr>
        <w:t xml:space="preserve">差距均值序列非单调——B120 达峰值 −0.3317 后，B240 收窄至 −0.2465（收窄幅度 0.0852 nats，超等效界 8 倍）。预注册 H2 主张“差距随 B 单调扩大”中的“单调”一词不再被数据支持；由于操作化失败判据（CI 重叠/反向）未被触发，放大规律不降格为“局部经验观察”，但表述必须修正为条件形式：放大在“单模型持续恶化 × 分配处于甜区”双条件下成立，B240 处两个条件分别失效（见下节机制分解）。这一修正使规律更精确而非更弱：单调拟合四点的残差为 +0.085，条件化表述的残差为零。</w:t>
      </w:r>
    </w:p>
    <w:p>
      <w:pPr>
        <w:keepNext/>
        <w:spacing w:after="80" w:before="160" w:line="312"/>
      </w:pPr>
      <w:r>
        <w:rPr>
          <w:rFonts w:ascii="Times New Roman" w:eastAsia="SimHei"/>
          <w:b/>
          <w:bCs/>
          <w:color w:val="0B1C2C"/>
          <w:sz w:val="21"/>
          <w:szCs w:val="21"/>
        </w:rPr>
        <w:t xml:space="preserve">表 3-2 差距变动的机制分解（k=3 锚点；Single 恶化份额 = ΔSingle / Δ差距）</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879"/>
        <w:gridCol w:w="1230"/>
        <w:gridCol w:w="1142"/>
        <w:gridCol w:w="1758"/>
        <w:gridCol w:w="1230"/>
        <w:gridCol w:w="2549"/>
      </w:tblGrid>
      <w:tr>
        <w:trPr>
          <w:cantSplit/>
          <w:tblHeader/>
        </w:trPr>
        <w:tc>
          <w:tcPr>
            <w:tcW w:type="pct" w:w="5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区间</w:t>
            </w:r>
          </w:p>
        </w:tc>
        <w:tc>
          <w:tcPr>
            <w:tcW w:type="pct" w:w="7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差距变动</w:t>
            </w:r>
          </w:p>
        </w:tc>
        <w:tc>
          <w:tcPr>
            <w:tcW w:type="pct" w:w="6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Single 变动</w:t>
            </w:r>
          </w:p>
        </w:tc>
        <w:tc>
          <w:tcPr>
            <w:tcW w:type="pct" w:w="10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DE(k3) 变动</w:t>
            </w:r>
          </w:p>
        </w:tc>
        <w:tc>
          <w:tcPr>
            <w:tcW w:type="pct" w:w="7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Single 恶化份额</w:t>
            </w:r>
          </w:p>
        </w:tc>
        <w:tc>
          <w:tcPr>
            <w:tcW w:type="pct" w:w="14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区间主导机制</w:t>
            </w:r>
          </w:p>
        </w:tc>
      </w:tr>
      <w:tr>
        <w:trPr>
          <w:cantSplit/>
        </w:trPr>
        <w:tc>
          <w:tcPr>
            <w:tcW w:type="pct" w:w="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30→60</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+0.1491 扩大</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+0.1470</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−0.0021</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98.6%</w:t>
            </w:r>
          </w:p>
        </w:tc>
        <w:tc>
          <w:tcPr>
            <w:tcW w:type="pct" w:w="145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单模型恶化主导</w:t>
            </w:r>
          </w:p>
        </w:tc>
      </w:tr>
      <w:tr>
        <w:trPr>
          <w:cantSplit/>
        </w:trPr>
        <w:tc>
          <w:tcPr>
            <w:tcW w:type="pct" w:w="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60→120</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+0.1072 扩大</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+0.1407</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+0.0335</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131%</w:t>
            </w:r>
          </w:p>
        </w:tc>
        <w:tc>
          <w:tcPr>
            <w:tcW w:type="pct" w:w="145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单模型恶化 + DE 轻微恶化</w:t>
            </w:r>
          </w:p>
        </w:tc>
      </w:tr>
      <w:tr>
        <w:trPr>
          <w:cantSplit/>
        </w:trPr>
        <w:tc>
          <w:tcPr>
            <w:tcW w:type="pct" w:w="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120→240</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−0.0852 收窄</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−0.0108（饱和）</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+0.0744（e=80 超甜区）</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12.6%</w:t>
            </w:r>
          </w:p>
        </w:tc>
        <w:tc>
          <w:tcPr>
            <w:tcW w:type="pct" w:w="145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DE 成员质量恶化主导</w:t>
            </w:r>
          </w:p>
        </w:tc>
      </w:tr>
      <w:tr>
        <w:trPr>
          <w:cantSplit/>
        </w:trPr>
        <w:tc>
          <w:tcPr>
            <w:tcW w:type="pct" w:w="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30→240 总计</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+0.1711</w:t>
            </w:r>
          </w:p>
        </w:tc>
        <w:tc>
          <w:tcPr>
            <w:tcW w:type="pct" w:w="6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+0.2769</w:t>
            </w:r>
          </w:p>
        </w:tc>
        <w:tc>
          <w:tcPr>
            <w:tcW w:type="pct" w:w="10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+0.1058</w:t>
            </w:r>
          </w:p>
        </w:tc>
        <w:tc>
          <w:tcPr>
            <w:tcW w:type="pct" w:w="7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162%</w:t>
            </w:r>
          </w:p>
        </w:tc>
        <w:tc>
          <w:tcPr>
            <w:tcW w:type="pct" w:w="145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两机制部分抵消</w:t>
            </w:r>
          </w:p>
        </w:tc>
      </w:tr>
    </w:tbl>
    <w:p>
      <w:pPr>
        <w:spacing w:after="60" w:line="312"/>
        <w:ind w:firstLine="480"/>
        <w:jc w:val="both"/>
      </w:pPr>
      <w:r>
        <w:rPr>
          <w:rFonts w:ascii="Times New Roman" w:eastAsia="SimSun"/>
          <w:color w:val="000000"/>
          <w:sz w:val="24"/>
          <w:szCs w:val="24"/>
        </w:rPr>
        <w:t xml:space="preserve">分解的证据链完整：Single 的 NLL 在 B30→B120 区间恶化 0.2877 nats 而 acc 保持平坦（0.8917→0.8885→0.8896，B240 处 0.8896）——恶化全部来自置信度校准（ECE 0.0493→0.0814，B240 处 0.0807 平台），这是过度自信型恶化的签名；B240 处该机制饱和（NLL 0.6672→0.6564 微降，种子间标准差由 0.0142 增至 0.0296）。同时固定 k=3 的 DE 成员 e 由 40 增至 80，成员 NLL 0.4276→0.5982，集成 NLL 0.3355→0.4099——成员质量超出甜区后的恶化主导了差距收窄。两条机制曲线在 B240 的行为均由预注册的 e 甜区假说预测（B120k3 的 e=40 已在 S1 显示恶化端起点 0.4276），故收窄本身是甜区机制的确认性证据，而非意外。</w:t>
      </w:r>
    </w:p>
    <w:p>
      <w:pPr>
        <w:pStyle w:val="Heading1"/>
        <w:spacing w:after="160" w:before="360" w:line="312"/>
      </w:pPr>
      <w:bookmarkStart w:name="_Toc4" w:id="4"/>
      <w:r>
        <w:rPr>
          <w:rFonts w:ascii="Times New Roman" w:eastAsia="SimHei"/>
          <w:b/>
          <w:bCs/>
          <w:color w:val="0B1C2C"/>
          <w:sz w:val="32"/>
          <w:szCs w:val="32"/>
        </w:rPr>
        <w:t xml:space="preserve">四、k 曲线外推：k* 上移与未饱和（H1 更新）</w:t>
      </w:r>
      <w:bookmarkEnd w:id="4"/>
    </w:p>
    <w:p>
      <w:pPr>
        <w:keepNext/>
        <w:spacing w:after="80" w:before="160" w:line="312"/>
      </w:pPr>
      <w:r>
        <w:rPr>
          <w:rFonts w:ascii="Times New Roman" w:eastAsia="SimHei"/>
          <w:b/>
          <w:bCs/>
          <w:color w:val="0B1C2C"/>
          <w:sz w:val="21"/>
          <w:szCs w:val="21"/>
        </w:rPr>
        <w:t xml:space="preserve">表 4-1 族二（B240）：DeepEns(k′)−DeepEns(k) 配对差（NLL，n=10 种子，逐 B Holm）</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703"/>
        <w:gridCol w:w="1055"/>
        <w:gridCol w:w="1055"/>
        <w:gridCol w:w="2109"/>
        <w:gridCol w:w="1055"/>
        <w:gridCol w:w="1055"/>
        <w:gridCol w:w="1055"/>
      </w:tblGrid>
      <w:tr>
        <w:trPr>
          <w:cantSplit/>
          <w:tblHeader/>
        </w:trPr>
        <w:tc>
          <w:tcPr>
            <w:tcW w:type="pct" w:w="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预算</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对比</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均值差</w:t>
            </w:r>
          </w:p>
        </w:tc>
        <w:tc>
          <w:tcPr>
            <w:tcW w:type="pct" w:w="12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95% CI</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p(Holm)</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TOST 等效</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方向</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k3−k2</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−0.0832</w:t>
            </w:r>
          </w:p>
        </w:tc>
        <w:tc>
          <w:tcPr>
            <w:tcW w:type="pct" w:w="12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[−0.0911, −0.0754]</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0.0117</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k5−k2</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−0.1634</w:t>
            </w:r>
          </w:p>
        </w:tc>
        <w:tc>
          <w:tcPr>
            <w:tcW w:type="pct" w:w="12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[−0.1692, −0.1575]</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0.0117</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k8−k2</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−0.1988</w:t>
            </w:r>
          </w:p>
        </w:tc>
        <w:tc>
          <w:tcPr>
            <w:tcW w:type="pct" w:w="12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[−0.2070, −0.1906]</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0.0117</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k5−k3</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−0.0801</w:t>
            </w:r>
          </w:p>
        </w:tc>
        <w:tc>
          <w:tcPr>
            <w:tcW w:type="pct" w:w="12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[−0.0863, −0.0740]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0.0117</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k8−k3</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−0.1156</w:t>
            </w:r>
          </w:p>
        </w:tc>
        <w:tc>
          <w:tcPr>
            <w:tcW w:type="pct" w:w="12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[−0.1213, −0.1099]</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0.0117</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k8−k5</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−0.0355</w:t>
            </w:r>
          </w:p>
        </w:tc>
        <w:tc>
          <w:tcPr>
            <w:tcW w:type="pct" w:w="12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[−0.0404, −0.0305]</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0.0117</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0+/10−</w:t>
            </w:r>
          </w:p>
        </w:tc>
      </w:tr>
    </w:tbl>
    <w:p>
      <w:pPr>
        <w:spacing w:after="60" w:line="312"/>
        <w:ind w:firstLine="480"/>
        <w:jc w:val="both"/>
      </w:pPr>
      <w:r>
        <w:rPr>
          <w:rFonts w:ascii="Times New Roman" w:eastAsia="SimSun"/>
          <w:color w:val="000000"/>
          <w:sz w:val="24"/>
          <w:szCs w:val="24"/>
        </w:rPr>
        <w:t xml:space="preserve">B240 的六组配对全部显著且方向 10/10 一致，没有任何一对进入等效界——这是四个预算中分配效应最强的一档。与 B120 的对照显示 k 曲线右端的形状变化：B120 处 k5→k8 增益 −0.0056（等效，边际递减），B240 处同样两档的增益 −0.0355（七倍于等效界，TOST 拒绝等效）。原因不是集成规模收益本身增强了，而是 k 曲线的位置整体右移：B240 的“劣区”（e&gt;30）覆盖了更多 k 档位，使每增加一个成员（同时缩短每成员长度）的边际收益同时包含“更多样化”与“逃离劣区”两部分。</w:t>
      </w:r>
    </w:p>
    <w:p>
      <w:pPr>
        <w:keepNext/>
        <w:spacing w:after="80" w:before="160" w:line="312"/>
      </w:pPr>
      <w:r>
        <w:rPr>
          <w:rFonts w:ascii="Times New Roman" w:eastAsia="SimHei"/>
          <w:b/>
          <w:bCs/>
          <w:color w:val="0B1C2C"/>
          <w:sz w:val="21"/>
          <w:szCs w:val="21"/>
        </w:rPr>
        <w:t xml:space="preserve">表 4-2 k 曲线四预算全景（DeepEns 平均 NLL；括号内为 e=B/k）</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879"/>
        <w:gridCol w:w="1494"/>
        <w:gridCol w:w="1494"/>
        <w:gridCol w:w="1494"/>
        <w:gridCol w:w="1494"/>
        <w:gridCol w:w="1933"/>
      </w:tblGrid>
      <w:tr>
        <w:trPr>
          <w:cantSplit/>
          <w:tblHeader/>
        </w:trPr>
        <w:tc>
          <w:tcPr>
            <w:tcW w:type="pct" w:w="5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预算 B</w:t>
            </w:r>
          </w:p>
        </w:tc>
        <w:tc>
          <w:tcPr>
            <w:tcW w:type="pct" w:w="8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k=2</w:t>
            </w:r>
          </w:p>
        </w:tc>
        <w:tc>
          <w:tcPr>
            <w:tcW w:type="pct" w:w="8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k=3</w:t>
            </w:r>
          </w:p>
        </w:tc>
        <w:tc>
          <w:tcPr>
            <w:tcW w:type="pct" w:w="8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k=5</w:t>
            </w:r>
          </w:p>
        </w:tc>
        <w:tc>
          <w:tcPr>
            <w:tcW w:type="pct" w:w="85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k=8</w:t>
            </w:r>
          </w:p>
        </w:tc>
        <w:tc>
          <w:tcPr>
            <w:tcW w:type="pct" w:w="11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最优 k*（等效区间）</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B30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0.3065 (e15)</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0.3041 (e10)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0.3161 (e6)</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k*=3（k2–k3）</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B60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0.3317 (e30)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0.3020 (e20)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0.2974 (e12)</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k*∈[3,5]</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B120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0.4157 (e60)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0.3355 (e40)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0.2965 (e24)</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0.2909 (e15)</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k*∈[5,8]</w:t>
            </w:r>
          </w:p>
        </w:tc>
      </w:tr>
      <w:tr>
        <w:trPr>
          <w:cantSplit/>
        </w:trPr>
        <w:tc>
          <w:tcPr>
            <w:tcW w:type="pct" w:w="5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0.4931 (e120)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0.4099 (e80)</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0.3298 (e48)</w:t>
            </w:r>
          </w:p>
        </w:tc>
        <w:tc>
          <w:tcPr>
            <w:tcW w:type="pct" w:w="85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0.2943 (e30)</w:t>
            </w:r>
          </w:p>
        </w:tc>
        <w:tc>
          <w:tcPr>
            <w:tcW w:type="pct" w:w="11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k*≥8（未饱和）</w:t>
            </w:r>
          </w:p>
        </w:tc>
      </w:tr>
    </w:tbl>
    <w:p>
      <w:pPr>
        <w:spacing w:after="60" w:line="312"/>
        <w:ind w:firstLine="480"/>
        <w:jc w:val="both"/>
      </w:pPr>
      <w:r>
        <w:rPr>
          <w:rFonts w:ascii="Times New Roman" w:eastAsia="SimSun"/>
          <w:b/>
          <w:bCs/>
          <w:color w:val="000000"/>
          <w:sz w:val="24"/>
          <w:szCs w:val="24"/>
        </w:rPr>
        <w:t xml:space="preserve">k*(B) 的移动规律在四个预算点完整成立且外推端增强：</w:t>
      </w:r>
      <w:r>
        <w:rPr>
          <w:rFonts w:ascii="Times New Roman" w:eastAsia="SimSun"/>
          <w:b w:val="false"/>
          <w:bCs w:val="false"/>
          <w:color w:val="000000"/>
          <w:sz w:val="24"/>
          <w:szCs w:val="24"/>
        </w:rPr>
        <w:t xml:space="preserve">3 → [3,5] → [5,8] → ≥8。S1 归纳的机制表述 k*≈B/18（等效区间 [B/24, B/12]）在 B240 给出 k*∈[10, 20]——网格上限 k=8 落在该区间左侧，与“k8 仍未饱和”的观测一致。注意该预测同时意味着 B240 的真实最优 k 可能在 10–20 之间、超出本网格，这构成 v5 论文的一个明确的边界声明（网格未覆盖 k&gt;8），也提示若审稿人质疑可加跑 B240k12（e=20，恰落入甜区中心）作为单点验证——该加跑不在预注册网格内，须作为探索性扩展另行登记。</w:t>
      </w:r>
    </w:p>
    <w:p>
      <w:pPr>
        <w:pStyle w:val="Heading1"/>
        <w:spacing w:after="160" w:before="360" w:line="312"/>
      </w:pPr>
      <w:bookmarkStart w:name="_Toc5" w:id="5"/>
      <w:r>
        <w:rPr>
          <w:rFonts w:ascii="Times New Roman" w:eastAsia="SimHei"/>
          <w:b/>
          <w:bCs/>
          <w:color w:val="0B1C2C"/>
          <w:sz w:val="32"/>
          <w:szCs w:val="32"/>
        </w:rPr>
        <w:t xml:space="preserve">五、e 甜区的完整图景（机制汇总）</w:t>
      </w:r>
      <w:bookmarkEnd w:id="5"/>
    </w:p>
    <w:p>
      <w:pPr>
        <w:spacing w:after="60" w:line="312"/>
        <w:ind w:firstLine="480"/>
        <w:jc w:val="both"/>
      </w:pPr>
      <w:r>
        <w:rPr>
          <w:rFonts w:ascii="Times New Roman" w:eastAsia="SimSun"/>
          <w:color w:val="000000"/>
          <w:sz w:val="24"/>
          <w:szCs w:val="24"/>
        </w:rPr>
        <w:t xml:space="preserve">S1 依据 B30–B120 归纳的每成员训练长度甜区 e∈[10,24] 在 S2 得到两侧边界的更精确刻画。固定 e 的跨预算对照（k 混杂，探索性）与单预算内 e 扫描合并如下。</w:t>
      </w:r>
    </w:p>
    <w:p>
      <w:pPr>
        <w:keepNext/>
        <w:spacing w:after="80" w:before="160" w:line="312"/>
      </w:pPr>
      <w:r>
        <w:rPr>
          <w:rFonts w:ascii="Times New Roman" w:eastAsia="SimHei"/>
          <w:b/>
          <w:bCs/>
          <w:color w:val="0B1C2C"/>
          <w:sz w:val="21"/>
          <w:szCs w:val="21"/>
        </w:rPr>
        <w:t xml:space="preserve">表 5-1 DeepEns NLL 作为每成员训练长度 e 的函数（全部 14 单元）</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1406"/>
        <w:gridCol w:w="4042"/>
        <w:gridCol w:w="3339"/>
      </w:tblGrid>
      <w:tr>
        <w:trPr>
          <w:cantSplit/>
          <w:tblHeader/>
        </w:trPr>
        <w:tc>
          <w:tcPr>
            <w:tcW w:type="pct" w:w="8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e 区段</w:t>
            </w:r>
          </w:p>
        </w:tc>
        <w:tc>
          <w:tcPr>
            <w:tcW w:type="pct" w:w="23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证据点（B, k, DE NLL）</w:t>
            </w:r>
          </w:p>
        </w:tc>
        <w:tc>
          <w:tcPr>
            <w:tcW w:type="pct" w:w="19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判读</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e=6（欠拟合端）</w:t>
            </w:r>
          </w:p>
        </w:tc>
        <w:tc>
          <w:tcPr>
            <w:tcW w:type="pct" w:w="2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B30k5 0.3161</w:t>
            </w:r>
          </w:p>
        </w:tc>
        <w:tc>
          <w:tcPr>
            <w:tcW w:type="pct" w:w="19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成员欠拟合，集成受累</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e∈[10,30]（甜区）</w:t>
            </w:r>
          </w:p>
        </w:tc>
        <w:tc>
          <w:tcPr>
            <w:tcW w:type="pct" w:w="2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B30k3 0.3041 · B60k5 0.2974 · B60k3 0.3020 · B120k8 0.2909 · B120k5 0.2965 · B240k8 0.2943</w:t>
            </w:r>
          </w:p>
        </w:tc>
        <w:tc>
          <w:tcPr>
            <w:tcW w:type="pct" w:w="19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全部落在 0.29–0.31 窄带内，与预算无关（S1 的核心机制）</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e=40–48（恶化起点）</w:t>
            </w:r>
          </w:p>
        </w:tc>
        <w:tc>
          <w:tcPr>
            <w:tcW w:type="pct" w:w="2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B120k3 0.3355 · B240k5 0.3298</w:t>
            </w:r>
          </w:p>
        </w:tc>
        <w:tc>
          <w:tcPr>
            <w:tcW w:type="pct" w:w="19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超出甜区右边界，恶化 0.03–0.04</w:t>
            </w:r>
          </w:p>
        </w:tc>
      </w:tr>
      <w:tr>
        <w:trPr>
          <w:cantSplit/>
        </w:trPr>
        <w:tc>
          <w:tcPr>
            <w:tcW w:type="pct" w:w="8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e=60–120（深度恶化）</w:t>
            </w:r>
          </w:p>
        </w:tc>
        <w:tc>
          <w:tcPr>
            <w:tcW w:type="pct" w:w="2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B120k2 0.4157 · B240k3 0.4099 · B240k2 0.4931</w:t>
            </w:r>
          </w:p>
        </w:tc>
        <w:tc>
          <w:tcPr>
            <w:tcW w:type="pct" w:w="19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成员过度自信主导；e=120 时集成 0.4931 接近 Single 水平</w:t>
            </w:r>
          </w:p>
        </w:tc>
      </w:tr>
    </w:tbl>
    <w:p>
      <w:pPr>
        <w:spacing w:after="60" w:line="312"/>
        <w:ind w:firstLine="480"/>
        <w:jc w:val="both"/>
      </w:pPr>
      <w:r>
        <w:rPr>
          <w:rFonts w:ascii="Times New Roman" w:eastAsia="SimSun"/>
          <w:b/>
          <w:bCs/>
          <w:color w:val="000000"/>
          <w:sz w:val="24"/>
          <w:szCs w:val="24"/>
        </w:rPr>
        <w:t xml:space="preserve">固定 e 的跨预算对的更新（含 S2 新增）：</w:t>
      </w:r>
      <w:r>
        <w:rPr>
          <w:rFonts w:ascii="Times New Roman" w:eastAsia="SimSun"/>
          <w:b w:val="false"/>
          <w:bCs w:val="false"/>
          <w:color w:val="000000"/>
          <w:sz w:val="24"/>
          <w:szCs w:val="24"/>
        </w:rPr>
        <w:t xml:space="preserve">e=15：B30k2 0.3065 vs B120k8 0.2909（Δ=0.0156，k 混杂 2 vs 8）；e=30：B60k2 0.3317 vs B240k8 0.2943（Δ=0.0374，k 混杂 2 vs 8，TOST 拒绝等效 p=1.000）。两对一致显示同 e 下大 k（大 B）组合更优，说明甜区不是 e 的一元函数——集成规模有独立的正向贡献。e 的一元性上界由此可量化：固定 e 时跨预算变化 ≤0.037（探索性，混杂未分离）。成员级证据支持双因素解释：B240k2 成员 NLL 0.6685 ≈ Single 0.6564（e=120 的成员与 e=240 的单模型同深度过拟合），而 B240k8 成员 NLL 0.3777 仅比 B120k8 成员 0.3245 高 0.053——k 曲线的本质是成员质量曲线，由 e 主导、由集成平均二阶修正。</w:t>
      </w:r>
    </w:p>
    <w:p>
      <w:pPr>
        <w:pStyle w:val="Heading1"/>
        <w:spacing w:after="160" w:before="360" w:line="312"/>
      </w:pPr>
      <w:bookmarkStart w:name="_Toc6" w:id="6"/>
      <w:r>
        <w:rPr>
          <w:rFonts w:ascii="Times New Roman" w:eastAsia="SimHei"/>
          <w:b/>
          <w:bCs/>
          <w:color w:val="0B1C2C"/>
          <w:sz w:val="32"/>
          <w:szCs w:val="32"/>
        </w:rPr>
        <w:t xml:space="preserve">六、温度缩放的条件性与快照差距（H5/H3 更新）</w:t>
      </w:r>
      <w:bookmarkEnd w:id="6"/>
    </w:p>
    <w:p>
      <w:pPr>
        <w:keepNext/>
        <w:spacing w:after="80" w:before="160" w:line="312"/>
      </w:pPr>
      <w:r>
        <w:rPr>
          <w:rFonts w:ascii="Times New Roman" w:eastAsia="SimHei"/>
          <w:b/>
          <w:bCs/>
          <w:color w:val="0B1C2C"/>
          <w:sz w:val="21"/>
          <w:szCs w:val="21"/>
        </w:rPr>
        <w:t xml:space="preserve">表 6-1 TS 前后的最优 k 对照（四预算全景）</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703"/>
        <w:gridCol w:w="2285"/>
        <w:gridCol w:w="2285"/>
        <w:gridCol w:w="703"/>
        <w:gridCol w:w="703"/>
        <w:gridCol w:w="1055"/>
      </w:tblGrid>
      <w:tr>
        <w:trPr>
          <w:cantSplit/>
          <w:tblHeader/>
        </w:trPr>
        <w:tc>
          <w:tcPr>
            <w:tcW w:type="pct" w:w="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预算</w:t>
            </w:r>
          </w:p>
        </w:tc>
        <w:tc>
          <w:tcPr>
            <w:tcW w:type="pct" w:w="13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raw k 曲线（k2/k3/k5/k8）</w:t>
            </w:r>
          </w:p>
        </w:tc>
        <w:tc>
          <w:tcPr>
            <w:tcW w:type="pct" w:w="13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TS 后 k 曲线</w:t>
            </w:r>
          </w:p>
        </w:tc>
        <w:tc>
          <w:tcPr>
            <w:tcW w:type="pct" w:w="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raw 最优</w:t>
            </w:r>
          </w:p>
        </w:tc>
        <w:tc>
          <w:tcPr>
            <w:tcW w:type="pct" w:w="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TS 最优</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下移？</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B30</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0.3065/0.3041/0.3161/—</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0.2969/0.3013/0.3159/—</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k3</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k2</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是（一档）</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B60</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0.3317/0.3020/0.2974/—</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0.2955/0.2891/0.2942/—</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k5</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k3</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是（一档）</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B120</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0.4157/0.3355/0.2965/0.2909</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0.3098/0.2917/0.2831/0.2865</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k5</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是（一档）</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B240</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0.4931/0.4099/0.3298/0.2943</w:t>
            </w:r>
          </w:p>
        </w:tc>
        <w:tc>
          <w:tcPr>
            <w:tcW w:type="pct" w:w="13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0.3199/0.3060/0.2886/0.2782</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w:t>
            </w:r>
          </w:p>
        </w:tc>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k8</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否（不变）</w:t>
            </w:r>
          </w:p>
        </w:tc>
      </w:tr>
    </w:tbl>
    <w:p>
      <w:pPr>
        <w:spacing w:after="60" w:line="312"/>
        <w:ind w:firstLine="480"/>
        <w:jc w:val="both"/>
      </w:pPr>
      <w:r>
        <w:rPr>
          <w:rFonts w:ascii="Times New Roman" w:eastAsia="SimSun"/>
          <w:b/>
          <w:bCs/>
          <w:color w:val="000000"/>
          <w:sz w:val="24"/>
          <w:szCs w:val="24"/>
        </w:rPr>
        <w:t xml:space="preserve">S1 的“TS 后最优 k 下移一档”规则在 B240 失效（偏离 D7）。</w:t>
      </w:r>
      <w:r>
        <w:rPr>
          <w:rFonts w:ascii="Times New Roman" w:eastAsia="SimSun"/>
          <w:b w:val="false"/>
          <w:bCs w:val="false"/>
          <w:color w:val="000000"/>
          <w:sz w:val="24"/>
          <w:szCs w:val="24"/>
        </w:rPr>
        <w:t xml:space="preserve">失效的机制值得在论文中单独成段：B240k5 的 TS 后 NLL 0.2886 仍比 k8 的 0.2782 高 0.010——恰在等效界上。观察 B120k5（e=24，甜区内）TS 后反超 k8 成为最优，而 B240k5（e=48，甜区外）TS 后仍被 k8 压制：TS 修复的是置信度温度，不能修复超长成员的判别力损失（acc：B240k5 0.8996 vs k8 0.9004，差距虽小但 NLL 惩罚置信度错置）。规则的条件形式：成员长度在甜区内时，TS 可替代约一档的集成规模；超出甜区后不可替代。这一条件化本身是 e 甜区机制的第三个独立证据来源（第一个是 k 曲线形状，第二个是放大分解，第三个是 TS 修复边界）。</w:t>
      </w:r>
    </w:p>
    <w:p>
      <w:pPr>
        <w:spacing w:after="60" w:line="312"/>
        <w:ind w:firstLine="480"/>
        <w:jc w:val="both"/>
      </w:pPr>
      <w:r>
        <w:rPr>
          <w:rFonts w:ascii="Times New Roman" w:eastAsia="SimSun"/>
          <w:color w:val="000000"/>
          <w:sz w:val="24"/>
          <w:szCs w:val="24"/>
        </w:rPr>
        <w:t xml:space="preserve">H3（快照差距随 k 收窄）在 B240 的形状：k2 −0.1054、k3 −0.1426、k5 −0.1418、k8 −0.1177——非单调，在 k3–k5 处最深、k8 回升。S1 已按预注册失败判据推翻 H3（B30k5 反转），B240 增加的信息是快照劣势在大预算下不会消失（四档全部 p=0.002，10/10 同号）：循环末端快照的成员质量（B240k8 成员 NLL 0.5680）显著差于同长度的独立成员（0.3777），因为快照继承前一循环末端的过拟合权重状态而非从初始化重新退火。快照集成的成员间 JSD（0.0135）低于独立重启（0.0208），多样性同时处于劣势。两劣势叠加使 Snapshot 在全部 14 个设置中无一进入最优条件。</w:t>
      </w:r>
    </w:p>
    <w:p>
      <w:pPr>
        <w:pStyle w:val="Heading1"/>
        <w:spacing w:after="160" w:before="360" w:line="312"/>
      </w:pPr>
      <w:bookmarkStart w:name="_Toc7" w:id="7"/>
      <w:r>
        <w:rPr>
          <w:rFonts w:ascii="Times New Roman" w:eastAsia="SimHei"/>
          <w:b/>
          <w:bCs/>
          <w:color w:val="0B1C2C"/>
          <w:sz w:val="32"/>
          <w:szCs w:val="32"/>
        </w:rPr>
        <w:t xml:space="preserve">七、预注册假设判定更新（S1+S2 合并口径）</w:t>
      </w:r>
      <w:bookmarkEnd w:id="7"/>
    </w:p>
    <w:p>
      <w:pPr>
        <w:keepNext/>
        <w:spacing w:after="80" w:before="160" w:line="312"/>
      </w:pPr>
      <w:r>
        <w:rPr>
          <w:rFonts w:ascii="Times New Roman" w:eastAsia="SimHei"/>
          <w:b/>
          <w:bCs/>
          <w:color w:val="0B1C2C"/>
          <w:sz w:val="21"/>
          <w:szCs w:val="21"/>
        </w:rPr>
        <w:t xml:space="preserve">表 7-1 假设判定对照（判据原文见预注册计划表 3-1；本表为 S2 后的更新状态）</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2636"/>
        <w:gridCol w:w="3691"/>
        <w:gridCol w:w="2461"/>
      </w:tblGrid>
      <w:tr>
        <w:trPr>
          <w:cantSplit/>
          <w:tblHeader/>
        </w:trPr>
        <w:tc>
          <w:tcPr>
            <w:tcW w:type="pct" w:w="15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假设</w:t>
            </w:r>
          </w:p>
        </w:tc>
        <w:tc>
          <w:tcPr>
            <w:tcW w:type="pct" w:w="21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S1+S2 数据</w:t>
            </w:r>
          </w:p>
        </w:tc>
        <w:tc>
          <w:tcPr>
            <w:tcW w:type="pct" w:w="1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判定更新</w:t>
            </w:r>
          </w:p>
        </w:tc>
      </w:tr>
      <w:tr>
        <w:trPr>
          <w:cantSplit/>
        </w:trPr>
        <w:tc>
          <w:tcPr>
            <w:tcW w:type="pct" w:w="1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H1 饱和：B≥60 时 DE 的 NLL 随 k 改善但边际递减；B120 时 k5 与 k8 差距在等效界内</w:t>
            </w:r>
          </w:p>
        </w:tc>
        <w:tc>
          <w:tcPr>
            <w:tcW w:type="pct" w:w="21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B120 等效维持（−0.0056）；B240 处 k5–k8 差距 −0.0355 拒绝等效，k 曲线未饱和；k*(B) 序列 3→[3,5]→[5,8]→≥8</w:t>
            </w:r>
          </w:p>
        </w:tc>
        <w:tc>
          <w:tcPr>
            <w:tcW w:type="pct" w:w="1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支持且强化（新增“外推端更强”），补充边界声明：网格上限 k=8 未覆盖 B240 真实最优</w:t>
            </w:r>
          </w:p>
        </w:tc>
      </w:tr>
      <w:tr>
        <w:trPr>
          <w:cantSplit/>
        </w:trPr>
        <w:tc>
          <w:tcPr>
            <w:tcW w:type="pct" w:w="1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H2 放大：DE−SG 差距随 B 单调扩大且主要由 Single 恶化贡献</w:t>
            </w:r>
          </w:p>
        </w:tc>
        <w:tc>
          <w:tcPr>
            <w:tcW w:type="pct" w:w="21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四点 −0.0754/−0.2245/−0.3317/−0.2465 全 p=0.0020、CI 分离；但非单调（B120 峰值）；Single 份额 98.6%/131%/12.6%</w:t>
            </w:r>
          </w:p>
        </w:tc>
        <w:tc>
          <w:tcPr>
            <w:tcW w:type="pct" w:w="1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修正为条件命题（D6）：双条件（Single 恶化 × 甜区内分配）下放大；B240 处两条件分别失效</w:t>
            </w:r>
          </w:p>
        </w:tc>
      </w:tr>
      <w:tr>
        <w:trPr>
          <w:cantSplit/>
        </w:trPr>
        <w:tc>
          <w:tcPr>
            <w:tcW w:type="pct" w:w="1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H3 快照差距：DE−SN 差距随 k 增大收窄</w:t>
            </w:r>
          </w:p>
        </w:tc>
        <w:tc>
          <w:tcPr>
            <w:tcW w:type="pct" w:w="21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S1 已推翻（B30k5 反转 +0.0096）；B240 呈非单调（k3 最深 −0.1426，k8 回升 −0.1177）；全部 14 设置快照无一最优</w:t>
            </w:r>
          </w:p>
        </w:tc>
        <w:tc>
          <w:tcPr>
            <w:tcW w:type="pct" w:w="1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维持推翻；新增大预算下快照成员质量劣势的机制证据</w:t>
            </w:r>
          </w:p>
        </w:tc>
      </w:tr>
      <w:tr>
        <w:trPr>
          <w:cantSplit/>
        </w:trPr>
        <w:tc>
          <w:tcPr>
            <w:tcW w:type="pct" w:w="1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H5 温度缩放：TS 压缩但不消除 B≥60 的 k 效应与 DE−SG 差距；B30 处趋于拉平</w:t>
            </w:r>
          </w:p>
        </w:tc>
        <w:tc>
          <w:tcPr>
            <w:tcW w:type="pct" w:w="21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TS 后 DE−SG(k3)：−0.0114/−0.0434/−0.0567/−0.0503（全 p=0.0020，四点保留）；“B30 拉平”S1 已修正；TS 最优 k 下移规则 B240 失效（D7）</w:t>
            </w:r>
          </w:p>
        </w:tc>
        <w:tc>
          <w:tcPr>
            <w:tcW w:type="pct" w:w="1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部分支持（压缩但不消除成立）；下移规则条件化（甜区内成立）</w:t>
            </w:r>
          </w:p>
        </w:tc>
      </w:tr>
      <w:tr>
        <w:trPr>
          <w:cantSplit/>
        </w:trPr>
        <w:tc>
          <w:tcPr>
            <w:tcW w:type="pct" w:w="1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H4 边界（MNIST 衰减/CIFAR 放大）</w:t>
            </w:r>
          </w:p>
        </w:tc>
        <w:tc>
          <w:tcPr>
            <w:tcW w:type="pct" w:w="21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S3 范围，未涉及</w:t>
            </w:r>
          </w:p>
        </w:tc>
        <w:tc>
          <w:tcPr>
            <w:tcW w:type="pct" w:w="1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待 S3</w:t>
            </w:r>
          </w:p>
        </w:tc>
      </w:tr>
      <w:tr>
        <w:trPr>
          <w:cantSplit/>
        </w:trPr>
        <w:tc>
          <w:tcPr>
            <w:tcW w:type="pct" w:w="15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H6 推理成本</w:t>
            </w:r>
          </w:p>
        </w:tc>
        <w:tc>
          <w:tcPr>
            <w:tcW w:type="pct" w:w="21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A2 范围，未涉及</w:t>
            </w:r>
          </w:p>
        </w:tc>
        <w:tc>
          <w:tcPr>
            <w:tcW w:type="pct" w:w="1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待 A2</w:t>
            </w:r>
          </w:p>
        </w:tc>
      </w:tr>
    </w:tbl>
    <w:p>
      <w:pPr>
        <w:pStyle w:val="Heading1"/>
        <w:spacing w:after="160" w:before="360" w:line="312"/>
      </w:pPr>
      <w:bookmarkStart w:name="_Toc8" w:id="8"/>
      <w:r>
        <w:rPr>
          <w:rFonts w:ascii="Times New Roman" w:eastAsia="SimHei"/>
          <w:b/>
          <w:bCs/>
          <w:color w:val="0B1C2C"/>
          <w:sz w:val="32"/>
          <w:szCs w:val="32"/>
        </w:rPr>
        <w:t xml:space="preserve">八、偏离登记（S2 新增）</w:t>
      </w:r>
      <w:bookmarkEnd w:id="8"/>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703"/>
        <w:gridCol w:w="4570"/>
        <w:gridCol w:w="3515"/>
      </w:tblGrid>
      <w:tr>
        <w:trPr>
          <w:cantSplit/>
          <w:tblHeader/>
        </w:trPr>
        <w:tc>
          <w:tcPr>
            <w:tcW w:type="pct" w:w="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编号</w:t>
            </w:r>
          </w:p>
        </w:tc>
        <w:tc>
          <w:tcPr>
            <w:tcW w:type="pct" w:w="2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偏离</w:t>
            </w:r>
          </w:p>
        </w:tc>
        <w:tc>
          <w:tcPr>
            <w:tcW w:type="pct" w:w="20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处置</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D6</w:t>
            </w:r>
          </w:p>
        </w:tc>
        <w:tc>
          <w:tcPr>
            <w:tcW w:type="pct" w:w="26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H2“单调扩大”表述与 B240 数据不符（差距收窄 0.0852）；G2 字面判据（CI 不重叠/反向）未触发，但单调性主张失效</w:t>
            </w:r>
          </w:p>
        </w:tc>
        <w:tc>
          <w:tcPr>
            <w:tcW w:type="pct" w:w="20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修正为条件命题（双条件放大），机制分解支持；论文表述按新形状撰写；S3 启动授权不受影响</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D7</w:t>
            </w:r>
          </w:p>
        </w:tc>
        <w:tc>
          <w:tcPr>
            <w:tcW w:type="pct" w:w="26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S1 发现的“TS 后最优 k 下移一档”在 B240 失效（k8 仍最优，差 0.010 恰在等效界）</w:t>
            </w:r>
          </w:p>
        </w:tc>
        <w:tc>
          <w:tcPr>
            <w:tcW w:type="pct" w:w="20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条件化为“甜区内成立”；作为 e 甜区机制的第三独立证据写入论文</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D8</w:t>
            </w:r>
          </w:p>
        </w:tc>
        <w:tc>
          <w:tcPr>
            <w:tcW w:type="pct" w:w="26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执行层三次事件：两次会话中断 + 一次 600 秒硬超时静默失败（子进程被杀、该种子未写入）</w:t>
            </w:r>
          </w:p>
        </w:tc>
        <w:tc>
          <w:tcPr>
            <w:tcW w:type="pct" w:w="20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零数据损失（逐种子追加写入 + 截断行忽略 + I1 兜底校验）；重试成功；登记以保持执行透明</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D9</w:t>
            </w:r>
          </w:p>
        </w:tc>
        <w:tc>
          <w:tcPr>
            <w:tcW w:type="pct" w:w="26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S2 实测 3.06 h vs 预算 3–4 h</w:t>
            </w:r>
          </w:p>
        </w:tc>
        <w:tc>
          <w:tcPr>
            <w:tcW w:type="pct" w:w="20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预算内完成，无处置需要</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D10</w:t>
            </w:r>
          </w:p>
        </w:tc>
        <w:tc>
          <w:tcPr>
            <w:tcW w:type="pct" w:w="26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驱动脚本打包参数在执行中期调整（静态 guard → 动态 guard，TB 上限 330→585 秒）</w:t>
            </w:r>
          </w:p>
        </w:tc>
        <w:tc>
          <w:tcPr>
            <w:tcW w:type="pct" w:w="20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仅影响分片打包效率（1–2 种子/片），不触碰实验代码、种子与指标路径；k|B 约束与断点协议不变；I1–I6 验证打包调整未引入任何数据差异</w:t>
            </w:r>
          </w:p>
        </w:tc>
      </w:tr>
    </w:tbl>
    <w:p>
      <w:pPr>
        <w:pStyle w:val="Heading1"/>
        <w:spacing w:after="160" w:before="360" w:line="312"/>
      </w:pPr>
      <w:bookmarkStart w:name="_Toc9" w:id="9"/>
      <w:r>
        <w:rPr>
          <w:rFonts w:ascii="Times New Roman" w:eastAsia="SimHei"/>
          <w:b/>
          <w:bCs/>
          <w:color w:val="0B1C2C"/>
          <w:sz w:val="32"/>
          <w:szCs w:val="32"/>
        </w:rPr>
        <w:t xml:space="preserve">九、S3 启动判定与后续计划</w:t>
      </w:r>
      <w:bookmarkEnd w:id="9"/>
    </w:p>
    <w:p>
      <w:pPr>
        <w:spacing w:after="60" w:line="312"/>
        <w:ind w:firstLine="480"/>
        <w:jc w:val="both"/>
      </w:pPr>
      <w:r>
        <w:rPr>
          <w:rFonts w:ascii="Times New Roman" w:eastAsia="SimSun"/>
          <w:b/>
          <w:bCs/>
          <w:color w:val="000000"/>
          <w:sz w:val="24"/>
          <w:szCs w:val="24"/>
        </w:rPr>
        <w:t xml:space="preserve">S3 获得启动授权。</w:t>
      </w:r>
      <w:r>
        <w:rPr>
          <w:rFonts w:ascii="Times New Roman" w:eastAsia="SimSun"/>
          <w:b w:val="false"/>
          <w:bCs w:val="false"/>
          <w:color w:val="000000"/>
          <w:sz w:val="24"/>
          <w:szCs w:val="24"/>
        </w:rPr>
        <w:t xml:space="preserve">G2 字面判据通过（表 3-1），全局停止规则三条件均未命中：(a) 无设计缺陷——B240 的 I3 结构性验证（Single 跨 k 位级一致）确认预算记账公平；(b) 无波动崩溃——四单元种子间标准差 0.0012–0.0097（NLL），与 S1 同量级；(c) 核心机制未消失——甜区机制在 B240 的三个独立证据方向（k 曲线、放大分解、TS 边界）全部一致。预注册网格的剩余阶段如下。</w:t>
      </w:r>
    </w:p>
    <w:p>
      <w:pPr>
        <w:keepNext/>
        <w:spacing w:after="80" w:before="160" w:line="312"/>
      </w:pPr>
      <w:r>
        <w:rPr>
          <w:rFonts w:ascii="Times New Roman" w:eastAsia="SimHei"/>
          <w:b/>
          <w:bCs/>
          <w:color w:val="0B1C2C"/>
          <w:sz w:val="21"/>
          <w:szCs w:val="21"/>
        </w:rPr>
        <w:t xml:space="preserve">表 9-1 剩余阶段与判定目标</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703"/>
        <w:gridCol w:w="2461"/>
        <w:gridCol w:w="1055"/>
        <w:gridCol w:w="2988"/>
        <w:gridCol w:w="1582"/>
      </w:tblGrid>
      <w:tr>
        <w:trPr>
          <w:cantSplit/>
          <w:tblHeader/>
        </w:trPr>
        <w:tc>
          <w:tcPr>
            <w:tcW w:type="pct" w:w="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阶段</w:t>
            </w:r>
          </w:p>
        </w:tc>
        <w:tc>
          <w:tcPr>
            <w:tcW w:type="pct" w:w="14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内容</w:t>
            </w:r>
          </w:p>
        </w:tc>
        <w:tc>
          <w:tcPr>
            <w:tcW w:type="pct" w:w="6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算力估计</w:t>
            </w:r>
          </w:p>
        </w:tc>
        <w:tc>
          <w:tcPr>
            <w:tcW w:type="pct" w:w="17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判定目标</w:t>
            </w:r>
          </w:p>
        </w:tc>
        <w:tc>
          <w:tcPr>
            <w:tcW w:type="pct" w:w="900"/>
            <w:shd w:fill="529286" w:val="clear"/>
            <w:tcMar>
              <w:top w:type="dxa" w:w="50"/>
              <w:left w:type="dxa" w:w="100"/>
              <w:bottom w:type="dxa" w:w="50"/>
              <w:right w:type="dxa" w:w="100"/>
            </w:tcMar>
          </w:tcPr>
          <w:p>
            <w:pPr>
              <w:spacing w:line="276"/>
              <w:jc w:val="center"/>
            </w:pPr>
            <w:r>
              <w:rPr>
                <w:rFonts w:ascii="Times New Roman" w:eastAsia="SimHei"/>
                <w:b/>
                <w:bCs/>
                <w:color w:val="FFFFFF"/>
                <w:sz w:val="18"/>
                <w:szCs w:val="18"/>
              </w:rPr>
              <w:t xml:space="preserve">状态</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S3 迁移</w:t>
            </w:r>
          </w:p>
        </w:tc>
        <w:tc>
          <w:tcPr>
            <w:tcW w:type="pct" w:w="14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MNIST B120×{k2,5} + CIFAR-10 B60×{k2,5}</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≈1 h + ≈2 h</w:t>
            </w:r>
          </w:p>
        </w:tc>
        <w:tc>
          <w:tcPr>
            <w:tcW w:type="pct" w:w="17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H4 边界：MNIST 衰减（近饱和域）与 CIFAR 放大（高难度域）；甜区机制的跨域稳健性</w:t>
            </w:r>
          </w:p>
        </w:tc>
        <w:tc>
          <w:tcPr>
            <w:tcW w:type="pct" w:w="9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已授权，待执行</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A1 消融</w:t>
            </w:r>
          </w:p>
        </w:tc>
        <w:tc>
          <w:tcPr>
            <w:tcW w:type="pct" w:w="14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Single 验证集早停版 B30/60/120</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≈0.5 h</w:t>
            </w:r>
          </w:p>
        </w:tc>
        <w:tc>
          <w:tcPr>
            <w:tcW w:type="pct" w:w="17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RQ5：选择规则（早停 vs 固定长度）是否改变分配建议</w:t>
            </w:r>
          </w:p>
        </w:tc>
        <w:tc>
          <w:tcPr>
            <w:tcW w:type="pct" w:w="9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无前置门，可与 S3 并行</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A2 基准</w:t>
            </w:r>
          </w:p>
        </w:tc>
        <w:tc>
          <w:tcPr>
            <w:tcW w:type="pct" w:w="14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推理延迟/参数/存储 k 扫描</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&lt;10 min</w:t>
            </w:r>
          </w:p>
        </w:tc>
        <w:tc>
          <w:tcPr>
            <w:tcW w:type="pct" w:w="17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H6：部署成本的独立报告</w:t>
            </w:r>
          </w:p>
        </w:tc>
        <w:tc>
          <w:tcPr>
            <w:tcW w:type="pct" w:w="9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无前置门</w:t>
            </w:r>
          </w:p>
        </w:tc>
      </w:tr>
      <w:tr>
        <w:trPr>
          <w:cantSplit/>
        </w:trPr>
        <w:tc>
          <w:tcPr>
            <w:tcW w:type="pct" w:w="4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论文重写</w:t>
            </w:r>
          </w:p>
        </w:tc>
        <w:tc>
          <w:tcPr>
            <w:tcW w:type="pct" w:w="14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v5 全文（重定位：分配相图）</w:t>
            </w:r>
          </w:p>
        </w:tc>
        <w:tc>
          <w:tcPr>
            <w:tcW w:type="pct" w:w="6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w:t>
            </w:r>
          </w:p>
        </w:tc>
        <w:tc>
          <w:tcPr>
            <w:tcW w:type="pct" w:w="1700"/>
            <w:tcMar>
              <w:top w:type="dxa" w:w="50"/>
              <w:left w:type="dxa" w:w="100"/>
              <w:bottom w:type="dxa" w:w="50"/>
              <w:right w:type="dxa" w:w="100"/>
            </w:tcMar>
          </w:tcPr>
          <w:p>
            <w:pPr>
              <w:spacing w:line="276"/>
              <w:jc w:val="left"/>
            </w:pPr>
            <w:r>
              <w:rPr>
                <w:rFonts w:ascii="Times New Roman" w:eastAsia="SimSun"/>
                <w:b w:val="false"/>
                <w:bCs w:val="false"/>
                <w:color w:val="000000"/>
                <w:sz w:val="18"/>
                <w:szCs w:val="18"/>
              </w:rPr>
              <w:t xml:space="preserve">三个机制曲线 + 条件化规律 + 14 设置全网格</w:t>
            </w:r>
          </w:p>
        </w:tc>
        <w:tc>
          <w:tcPr>
            <w:tcW w:type="pct" w:w="900"/>
            <w:tcMar>
              <w:top w:type="dxa" w:w="50"/>
              <w:left w:type="dxa" w:w="100"/>
              <w:bottom w:type="dxa" w:w="50"/>
              <w:right w:type="dxa" w:w="100"/>
            </w:tcMar>
          </w:tcPr>
          <w:p>
            <w:pPr>
              <w:spacing w:line="276"/>
              <w:jc w:val="center"/>
            </w:pPr>
            <w:r>
              <w:rPr>
                <w:rFonts w:ascii="Times New Roman" w:eastAsia="SimSun"/>
                <w:b w:val="false"/>
                <w:bCs w:val="false"/>
                <w:color w:val="000000"/>
                <w:sz w:val="18"/>
                <w:szCs w:val="18"/>
              </w:rPr>
              <w:t xml:space="preserve">S3+A1+A2 后启动</w:t>
            </w:r>
          </w:p>
        </w:tc>
      </w:tr>
    </w:tbl>
    <w:p>
      <w:pPr>
        <w:spacing w:after="60" w:line="312"/>
        <w:ind w:firstLine="480"/>
        <w:jc w:val="both"/>
      </w:pPr>
      <w:r>
        <w:rPr>
          <w:rFonts w:ascii="Times New Roman" w:eastAsia="SimSun"/>
          <w:color w:val="000000"/>
          <w:sz w:val="24"/>
          <w:szCs w:val="24"/>
        </w:rPr>
        <w:t xml:space="preserve">S3 的两个域的预测（预注册推断，供事后对照）：MNIST 为近饱和域（v4 已知单轨迹策略在 B120 处不显著），预期 k 曲线更平坦、甜区更宽（更短训练即可饱和），k* 上移规律可能减弱；CIFAR-10 为高难度域（CNN 架构），预期放大更强、甜区更窄。若两个预测方向均复现，H4 的边界条件表述将获得与 FMNIST 同等强度的支持；若任一方向不符，按预注册判据如实修正边界表述。</w:t>
      </w:r>
    </w:p>
    <w:p>
      <w:pPr>
        <w:pStyle w:val="Heading1"/>
        <w:spacing w:after="160" w:before="360" w:line="312"/>
      </w:pPr>
      <w:bookmarkStart w:name="_Toc10" w:id="10"/>
      <w:r>
        <w:rPr>
          <w:rFonts w:ascii="Times New Roman" w:eastAsia="SimHei"/>
          <w:b/>
          <w:bCs/>
          <w:color w:val="0B1C2C"/>
          <w:sz w:val="32"/>
          <w:szCs w:val="32"/>
        </w:rPr>
        <w:t xml:space="preserve">十、可核验性</w:t>
      </w:r>
      <w:bookmarkEnd w:id="10"/>
    </w:p>
    <w:p>
      <w:pPr>
        <w:pStyle w:val="ListParagraph"/>
        <w:numPr>
          <w:ilvl w:val="0"/>
          <w:numId w:val="1"/>
        </w:numPr>
        <w:spacing w:after="40" w:line="312"/>
        <w:jc w:val="left"/>
      </w:pPr>
      <w:r>
        <w:rPr>
          <w:rFonts w:ascii="Times New Roman" w:eastAsia="SimSun"/>
          <w:color w:val="000000"/>
          <w:sz w:val="24"/>
          <w:szCs w:val="24"/>
        </w:rPr>
        <w:t xml:space="preserve">原始记录：ijmlc-repo/results/v5/experiment_v5_fmnist_B240_k{2,3,5,8}.jsonl（4 文件，40 条逐种子记录，含版本戳、wallclock、逐条件全指标、TS 拟合值、可靠性分箱与成员级指标）</w:t>
      </w:r>
    </w:p>
    <w:p>
      <w:pPr>
        <w:pStyle w:val="ListParagraph"/>
        <w:numPr>
          <w:ilvl w:val="0"/>
          <w:numId w:val="1"/>
        </w:numPr>
        <w:spacing w:after="40" w:line="312"/>
        <w:jc w:val="left"/>
      </w:pPr>
      <w:r>
        <w:rPr>
          <w:rFonts w:ascii="Times New Roman" w:eastAsia="SimSun"/>
          <w:color w:val="000000"/>
          <w:sz w:val="24"/>
          <w:szCs w:val="24"/>
        </w:rPr>
        <w:t xml:space="preserve">分析输出：results/v5/analysis_v5.json（S1+S2 合并 14 单元全统计，含 G2 判定块；S1-only 版备份为 analysis_v5_S1only_backup.json）、summary_v5.csv（扩展至 98 行）、contrasts_v5.csv（族一 70 行 + 族二 18 行）</w:t>
      </w:r>
    </w:p>
    <w:p>
      <w:pPr>
        <w:pStyle w:val="ListParagraph"/>
        <w:numPr>
          <w:ilvl w:val="0"/>
          <w:numId w:val="1"/>
        </w:numPr>
        <w:spacing w:after="40" w:line="312"/>
        <w:jc w:val="left"/>
      </w:pPr>
      <w:r>
        <w:rPr>
          <w:rFonts w:ascii="Times New Roman" w:eastAsia="SimSun"/>
          <w:color w:val="000000"/>
          <w:sz w:val="24"/>
          <w:szCs w:val="24"/>
        </w:rPr>
        <w:t xml:space="preserve">脚本：scripts/run_s2_driver.py（分片驱动，动态 guard 打包）、scripts/check_s2_integrity.py（S2 六项核验）、scripts/analyze_v5.py（扩展至 14 单元，输出 G2 判定）</w:t>
      </w:r>
    </w:p>
    <w:p>
      <w:pPr>
        <w:pStyle w:val="ListParagraph"/>
        <w:numPr>
          <w:ilvl w:val="0"/>
          <w:numId w:val="1"/>
        </w:numPr>
        <w:spacing w:after="40" w:line="312"/>
        <w:jc w:val="left"/>
      </w:pPr>
      <w:r>
        <w:rPr>
          <w:rFonts w:ascii="Times New Roman" w:eastAsia="SimSun"/>
          <w:color w:val="000000"/>
          <w:sz w:val="24"/>
          <w:szCs w:val="24"/>
        </w:rPr>
        <w:t xml:space="preserve">复现命令：python scripts/run_s2_driver.py 595（断点续跑至 ALL_S2_CELLS_DONE）；python scripts/check_s2_integrity.py；python scripts/analyze_v5.py</w:t>
      </w:r>
    </w:p>
    <w:p>
      <w:pPr>
        <w:pStyle w:val="ListParagraph"/>
        <w:numPr>
          <w:ilvl w:val="0"/>
          <w:numId w:val="1"/>
        </w:numPr>
        <w:spacing w:after="40" w:line="312"/>
        <w:jc w:val="left"/>
      </w:pPr>
      <w:r>
        <w:rPr>
          <w:rFonts w:ascii="Times New Roman" w:eastAsia="SimSun"/>
          <w:color w:val="000000"/>
          <w:sz w:val="24"/>
          <w:szCs w:val="24"/>
        </w:rPr>
        <w:t xml:space="preserve">本报告全部数值与 analysis_v5.json 逐项对应；执行层事件（D8）的完整时间线见分片日志与本报告第二节</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v5.0 S2 阶段报告（Doc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v5.0 S2 阶段报告（Doc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B1C2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B1C2C"/>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 外推网格执行报告：B240 结果与 G2 阶段门判定</dc:title>
  <dc:creator>Chang Tan</dc:creator>
  <cp:lastModifiedBy>Un-named</cp:lastModifiedBy>
  <cp:revision>1</cp:revision>
  <dcterms:created xsi:type="dcterms:W3CDTF">2026-10-20T08:46:35.876Z</dcterms:created>
  <dcterms:modified xsi:type="dcterms:W3CDTF">2026-10-20T08:46:35.876Z</dcterms:modified>
</cp:coreProperties>
</file>

<file path=docProps/custom.xml><?xml version="1.0" encoding="utf-8"?>
<Properties xmlns="http://schemas.openxmlformats.org/officeDocument/2006/custom-properties" xmlns:vt="http://schemas.openxmlformats.org/officeDocument/2006/docPropsVTypes"/>
</file>